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99" w:rsidRPr="00A6411F" w:rsidRDefault="00B14211" w:rsidP="00B83B0B">
      <w:pPr>
        <w:shd w:val="clear" w:color="auto" w:fill="FFFFFF"/>
        <w:ind w:right="48"/>
        <w:jc w:val="center"/>
        <w:rPr>
          <w:sz w:val="28"/>
          <w:szCs w:val="28"/>
        </w:rPr>
      </w:pPr>
      <w:r w:rsidRPr="00A6411F">
        <w:rPr>
          <w:rFonts w:eastAsia="Times New Roman"/>
          <w:b/>
          <w:bCs/>
          <w:sz w:val="28"/>
          <w:szCs w:val="28"/>
        </w:rPr>
        <w:t>Расчёт по межбюджетным трансфертам бюджета муниципального</w:t>
      </w:r>
    </w:p>
    <w:p w:rsidR="00D43E99" w:rsidRPr="00A6411F" w:rsidRDefault="00B14211" w:rsidP="00B83B0B">
      <w:pPr>
        <w:shd w:val="clear" w:color="auto" w:fill="FFFFFF"/>
        <w:ind w:right="43"/>
        <w:jc w:val="center"/>
        <w:rPr>
          <w:sz w:val="28"/>
          <w:szCs w:val="28"/>
        </w:rPr>
      </w:pPr>
      <w:r w:rsidRPr="00A6411F">
        <w:rPr>
          <w:rFonts w:eastAsia="Times New Roman"/>
          <w:b/>
          <w:bCs/>
          <w:sz w:val="28"/>
          <w:szCs w:val="28"/>
        </w:rPr>
        <w:t>образования «город Зеленодольск» Зеленодольского муниципального</w:t>
      </w:r>
    </w:p>
    <w:p w:rsidR="00D43E99" w:rsidRPr="00A6411F" w:rsidRDefault="00B14211" w:rsidP="00B83B0B">
      <w:pPr>
        <w:shd w:val="clear" w:color="auto" w:fill="FFFFFF"/>
        <w:ind w:right="38"/>
        <w:jc w:val="center"/>
        <w:rPr>
          <w:sz w:val="28"/>
          <w:szCs w:val="28"/>
        </w:rPr>
      </w:pPr>
      <w:r w:rsidRPr="00A6411F">
        <w:rPr>
          <w:rFonts w:eastAsia="Times New Roman"/>
          <w:b/>
          <w:bCs/>
          <w:sz w:val="28"/>
          <w:szCs w:val="28"/>
        </w:rPr>
        <w:t>района Республики Татарстан на решение вопросов местного значения</w:t>
      </w:r>
    </w:p>
    <w:p w:rsidR="00D43E99" w:rsidRPr="00A6411F" w:rsidRDefault="00B14211" w:rsidP="00B83B0B">
      <w:pPr>
        <w:shd w:val="clear" w:color="auto" w:fill="FFFFFF"/>
        <w:ind w:right="34"/>
        <w:jc w:val="center"/>
        <w:rPr>
          <w:sz w:val="28"/>
          <w:szCs w:val="28"/>
        </w:rPr>
      </w:pPr>
      <w:r w:rsidRPr="00A6411F">
        <w:rPr>
          <w:rFonts w:eastAsia="Times New Roman"/>
          <w:b/>
          <w:bCs/>
          <w:spacing w:val="-1"/>
          <w:sz w:val="28"/>
          <w:szCs w:val="28"/>
        </w:rPr>
        <w:t>на 201</w:t>
      </w:r>
      <w:r w:rsidR="00ED7E46" w:rsidRPr="00A6411F">
        <w:rPr>
          <w:rFonts w:eastAsia="Times New Roman"/>
          <w:b/>
          <w:bCs/>
          <w:spacing w:val="-1"/>
          <w:sz w:val="28"/>
          <w:szCs w:val="28"/>
        </w:rPr>
        <w:t>4</w:t>
      </w:r>
      <w:r w:rsidRPr="00A6411F">
        <w:rPr>
          <w:rFonts w:eastAsia="Times New Roman"/>
          <w:b/>
          <w:bCs/>
          <w:spacing w:val="-1"/>
          <w:sz w:val="28"/>
          <w:szCs w:val="28"/>
        </w:rPr>
        <w:t>-201</w:t>
      </w:r>
      <w:r w:rsidR="00ED7E46" w:rsidRPr="00A6411F">
        <w:rPr>
          <w:rFonts w:eastAsia="Times New Roman"/>
          <w:b/>
          <w:bCs/>
          <w:spacing w:val="-1"/>
          <w:sz w:val="28"/>
          <w:szCs w:val="28"/>
        </w:rPr>
        <w:t>6</w:t>
      </w:r>
      <w:r w:rsidRPr="00A6411F">
        <w:rPr>
          <w:rFonts w:eastAsia="Times New Roman"/>
          <w:b/>
          <w:bCs/>
          <w:spacing w:val="-1"/>
          <w:sz w:val="28"/>
          <w:szCs w:val="28"/>
        </w:rPr>
        <w:t xml:space="preserve"> годы.</w:t>
      </w:r>
    </w:p>
    <w:p w:rsidR="00D43E99" w:rsidRPr="00A6411F" w:rsidRDefault="00B14211" w:rsidP="00A6411F">
      <w:pPr>
        <w:shd w:val="clear" w:color="auto" w:fill="FFFFFF"/>
        <w:spacing w:before="317"/>
        <w:ind w:right="19" w:firstLine="567"/>
        <w:jc w:val="both"/>
        <w:rPr>
          <w:sz w:val="28"/>
          <w:szCs w:val="28"/>
        </w:rPr>
      </w:pPr>
      <w:r w:rsidRPr="00A6411F">
        <w:rPr>
          <w:rFonts w:eastAsia="Times New Roman"/>
          <w:sz w:val="28"/>
          <w:szCs w:val="28"/>
        </w:rPr>
        <w:t>Расчеты распределения межбюджетных трансфертов, передаваемых бюджету Зеленодольского муниципального района из бюджета муниципального образования «город Зеленодольск» Зеленодольского муниципального района Республики Татарстан на решение вопросов местного значения на 201</w:t>
      </w:r>
      <w:r w:rsidR="00ED7E46" w:rsidRPr="00A6411F">
        <w:rPr>
          <w:rFonts w:eastAsia="Times New Roman"/>
          <w:sz w:val="28"/>
          <w:szCs w:val="28"/>
        </w:rPr>
        <w:t>4</w:t>
      </w:r>
      <w:r w:rsidRPr="00A6411F">
        <w:rPr>
          <w:rFonts w:eastAsia="Times New Roman"/>
          <w:sz w:val="28"/>
          <w:szCs w:val="28"/>
        </w:rPr>
        <w:t>-201</w:t>
      </w:r>
      <w:r w:rsidR="00ED7E46" w:rsidRPr="00A6411F">
        <w:rPr>
          <w:rFonts w:eastAsia="Times New Roman"/>
          <w:sz w:val="28"/>
          <w:szCs w:val="28"/>
        </w:rPr>
        <w:t>6</w:t>
      </w:r>
      <w:r w:rsidRPr="00A6411F">
        <w:rPr>
          <w:rFonts w:eastAsia="Times New Roman"/>
          <w:sz w:val="28"/>
          <w:szCs w:val="28"/>
        </w:rPr>
        <w:t xml:space="preserve"> годы, произведены в соответствии с проектом методики распределения межбюджетных трансфертов на следующие виды расходов.</w:t>
      </w:r>
    </w:p>
    <w:p w:rsidR="00D43E99" w:rsidRPr="00A6411F" w:rsidRDefault="00B14211" w:rsidP="00A6411F">
      <w:pPr>
        <w:shd w:val="clear" w:color="auto" w:fill="FFFFFF"/>
        <w:tabs>
          <w:tab w:val="left" w:pos="360"/>
        </w:tabs>
        <w:spacing w:before="240"/>
        <w:ind w:right="24" w:firstLine="851"/>
        <w:jc w:val="both"/>
        <w:rPr>
          <w:sz w:val="28"/>
          <w:szCs w:val="28"/>
        </w:rPr>
      </w:pPr>
      <w:r w:rsidRPr="00A6411F">
        <w:rPr>
          <w:spacing w:val="-41"/>
          <w:sz w:val="28"/>
          <w:szCs w:val="28"/>
        </w:rPr>
        <w:t>1.</w:t>
      </w:r>
      <w:r w:rsidRPr="00A6411F">
        <w:rPr>
          <w:sz w:val="28"/>
          <w:szCs w:val="28"/>
        </w:rPr>
        <w:tab/>
      </w:r>
      <w:r w:rsidRPr="00A6411F">
        <w:rPr>
          <w:rFonts w:eastAsia="Times New Roman"/>
          <w:sz w:val="28"/>
          <w:szCs w:val="28"/>
        </w:rPr>
        <w:t>Межбюджетные трансферты (раздел 05 «Жилищно-коммунальное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хозяйство), передаваемые бюджету Зеленодольского муниципального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района из бюджета муниципального образования «город Зеленодольск»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Зеленодольского муниципального района Республики Татарстан на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решение вопросов по осуществлению программы капитального ремонта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многоквартирных домов города Зеленодольск на 201</w:t>
      </w:r>
      <w:r w:rsidR="00ED7E46" w:rsidRPr="00A6411F">
        <w:rPr>
          <w:rFonts w:eastAsia="Times New Roman"/>
          <w:sz w:val="28"/>
          <w:szCs w:val="28"/>
        </w:rPr>
        <w:t>4</w:t>
      </w:r>
      <w:r w:rsidRPr="00A6411F">
        <w:rPr>
          <w:rFonts w:eastAsia="Times New Roman"/>
          <w:sz w:val="28"/>
          <w:szCs w:val="28"/>
        </w:rPr>
        <w:t>-201</w:t>
      </w:r>
      <w:r w:rsidR="00ED7E46" w:rsidRPr="00A6411F">
        <w:rPr>
          <w:rFonts w:eastAsia="Times New Roman"/>
          <w:sz w:val="28"/>
          <w:szCs w:val="28"/>
        </w:rPr>
        <w:t>6</w:t>
      </w:r>
      <w:r w:rsidRPr="00A6411F">
        <w:rPr>
          <w:rFonts w:eastAsia="Times New Roman"/>
          <w:sz w:val="28"/>
          <w:szCs w:val="28"/>
        </w:rPr>
        <w:t xml:space="preserve"> годы </w:t>
      </w:r>
      <w:r w:rsidR="002D0853">
        <w:rPr>
          <w:rFonts w:eastAsia="Times New Roman"/>
          <w:sz w:val="28"/>
          <w:szCs w:val="28"/>
        </w:rPr>
        <w:t>по 41 343,315 тыс</w:t>
      </w:r>
      <w:proofErr w:type="gramStart"/>
      <w:r w:rsidR="002D0853">
        <w:rPr>
          <w:rFonts w:eastAsia="Times New Roman"/>
          <w:sz w:val="28"/>
          <w:szCs w:val="28"/>
        </w:rPr>
        <w:t>.р</w:t>
      </w:r>
      <w:proofErr w:type="gramEnd"/>
      <w:r w:rsidR="002D0853">
        <w:rPr>
          <w:rFonts w:eastAsia="Times New Roman"/>
          <w:sz w:val="28"/>
          <w:szCs w:val="28"/>
        </w:rPr>
        <w:t>уб.</w:t>
      </w:r>
      <w:r w:rsidR="002D0853" w:rsidRPr="002D0853">
        <w:rPr>
          <w:rFonts w:eastAsia="Times New Roman"/>
          <w:sz w:val="28"/>
          <w:szCs w:val="28"/>
        </w:rPr>
        <w:t xml:space="preserve"> </w:t>
      </w:r>
      <w:r w:rsidR="002D0853">
        <w:rPr>
          <w:rFonts w:eastAsia="Times New Roman"/>
          <w:sz w:val="28"/>
          <w:szCs w:val="28"/>
        </w:rPr>
        <w:t>(согласно объему перечисления средств собственников).</w:t>
      </w:r>
    </w:p>
    <w:p w:rsidR="00D43E99" w:rsidRPr="00A6411F" w:rsidRDefault="00B14211" w:rsidP="00A6411F">
      <w:pPr>
        <w:shd w:val="clear" w:color="auto" w:fill="FFFFFF"/>
        <w:tabs>
          <w:tab w:val="left" w:pos="360"/>
        </w:tabs>
        <w:spacing w:before="240"/>
        <w:ind w:firstLine="567"/>
        <w:jc w:val="both"/>
        <w:rPr>
          <w:sz w:val="28"/>
          <w:szCs w:val="28"/>
        </w:rPr>
      </w:pPr>
      <w:r w:rsidRPr="00A6411F">
        <w:rPr>
          <w:spacing w:val="-17"/>
          <w:sz w:val="28"/>
          <w:szCs w:val="28"/>
        </w:rPr>
        <w:t>2.</w:t>
      </w:r>
      <w:r w:rsidRPr="00A6411F">
        <w:rPr>
          <w:sz w:val="28"/>
          <w:szCs w:val="28"/>
        </w:rPr>
        <w:tab/>
      </w:r>
      <w:proofErr w:type="gramStart"/>
      <w:r w:rsidRPr="00A6411F">
        <w:rPr>
          <w:rFonts w:eastAsia="Times New Roman"/>
          <w:sz w:val="28"/>
          <w:szCs w:val="28"/>
        </w:rPr>
        <w:t>Межбюджетные трансферты (раздел 08 «Культура, кинематография</w:t>
      </w:r>
      <w:proofErr w:type="gramEnd"/>
      <w:r w:rsidRPr="00A6411F">
        <w:rPr>
          <w:rFonts w:eastAsia="Times New Roman"/>
          <w:sz w:val="28"/>
          <w:szCs w:val="28"/>
        </w:rPr>
        <w:t xml:space="preserve"> </w:t>
      </w:r>
      <w:proofErr w:type="gramStart"/>
      <w:r w:rsidRPr="00A6411F">
        <w:rPr>
          <w:rFonts w:eastAsia="Times New Roman"/>
          <w:sz w:val="28"/>
          <w:szCs w:val="28"/>
        </w:rPr>
        <w:t>и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средства массовой информации») передаваемые бюджету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Зеленодольского муниципального района из бюджет</w:t>
      </w:r>
      <w:r w:rsidR="002D0853">
        <w:rPr>
          <w:rFonts w:eastAsia="Times New Roman"/>
          <w:sz w:val="28"/>
          <w:szCs w:val="28"/>
        </w:rPr>
        <w:t xml:space="preserve">а </w:t>
      </w:r>
      <w:r w:rsidRPr="00A6411F">
        <w:rPr>
          <w:rFonts w:eastAsia="Times New Roman"/>
          <w:sz w:val="28"/>
          <w:szCs w:val="28"/>
        </w:rPr>
        <w:t>муниципальн</w:t>
      </w:r>
      <w:r w:rsidR="002D0853">
        <w:rPr>
          <w:rFonts w:eastAsia="Times New Roman"/>
          <w:sz w:val="28"/>
          <w:szCs w:val="28"/>
        </w:rPr>
        <w:t>ого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образовани</w:t>
      </w:r>
      <w:r w:rsidR="002D0853">
        <w:rPr>
          <w:rFonts w:eastAsia="Times New Roman"/>
          <w:sz w:val="28"/>
          <w:szCs w:val="28"/>
        </w:rPr>
        <w:t>я «город Зеленодольск» Зеленодольского муниципального района Республики Татарстан</w:t>
      </w:r>
      <w:r w:rsidRPr="00A6411F">
        <w:rPr>
          <w:rFonts w:eastAsia="Times New Roman"/>
          <w:sz w:val="28"/>
          <w:szCs w:val="28"/>
        </w:rPr>
        <w:t>, на осуществление части полномочий по решению вопросов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местного значения в соответствии с заключенными соглашениями по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организации библиотечного обслуживания населения, комплектованию и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обеспечению сохранности библиотечных фондов библиотек и созданию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условий для организации досуга и обеспечения жителей поселений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услугами организаций культуры в</w:t>
      </w:r>
      <w:proofErr w:type="gramEnd"/>
      <w:r w:rsidRPr="00A6411F">
        <w:rPr>
          <w:rFonts w:eastAsia="Times New Roman"/>
          <w:sz w:val="28"/>
          <w:szCs w:val="28"/>
        </w:rPr>
        <w:t xml:space="preserve"> 201</w:t>
      </w:r>
      <w:r w:rsidR="00ED7E46" w:rsidRPr="00A6411F">
        <w:rPr>
          <w:rFonts w:eastAsia="Times New Roman"/>
          <w:sz w:val="28"/>
          <w:szCs w:val="28"/>
        </w:rPr>
        <w:t>4</w:t>
      </w:r>
      <w:r w:rsidRPr="00A6411F">
        <w:rPr>
          <w:rFonts w:eastAsia="Times New Roman"/>
          <w:sz w:val="28"/>
          <w:szCs w:val="28"/>
        </w:rPr>
        <w:t xml:space="preserve"> году в сумме </w:t>
      </w:r>
      <w:r w:rsidR="00ED7E46" w:rsidRPr="00A6411F">
        <w:rPr>
          <w:rFonts w:eastAsia="Times New Roman"/>
          <w:sz w:val="28"/>
          <w:szCs w:val="28"/>
        </w:rPr>
        <w:t>68 436,031</w:t>
      </w:r>
      <w:r w:rsidRPr="00A6411F">
        <w:rPr>
          <w:rFonts w:eastAsia="Times New Roman"/>
          <w:sz w:val="28"/>
          <w:szCs w:val="28"/>
        </w:rPr>
        <w:t xml:space="preserve"> тыс.</w:t>
      </w:r>
      <w:r w:rsidR="00ED7E46" w:rsidRPr="00A6411F">
        <w:rPr>
          <w:rFonts w:eastAsia="Times New Roman"/>
          <w:sz w:val="28"/>
          <w:szCs w:val="28"/>
        </w:rPr>
        <w:t xml:space="preserve"> </w:t>
      </w:r>
      <w:r w:rsidRPr="00A6411F">
        <w:rPr>
          <w:rFonts w:eastAsia="Times New Roman"/>
          <w:sz w:val="28"/>
          <w:szCs w:val="28"/>
        </w:rPr>
        <w:t>рублей, в 201</w:t>
      </w:r>
      <w:r w:rsidR="00ED7E46" w:rsidRPr="00A6411F">
        <w:rPr>
          <w:rFonts w:eastAsia="Times New Roman"/>
          <w:sz w:val="28"/>
          <w:szCs w:val="28"/>
        </w:rPr>
        <w:t>5</w:t>
      </w:r>
      <w:r w:rsidRPr="00A6411F">
        <w:rPr>
          <w:rFonts w:eastAsia="Times New Roman"/>
          <w:sz w:val="28"/>
          <w:szCs w:val="28"/>
        </w:rPr>
        <w:t xml:space="preserve"> году в сумме </w:t>
      </w:r>
      <w:r w:rsidR="00ED7E46" w:rsidRPr="00A6411F">
        <w:rPr>
          <w:rFonts w:eastAsia="Times New Roman"/>
          <w:sz w:val="28"/>
          <w:szCs w:val="28"/>
        </w:rPr>
        <w:t>69 043,862</w:t>
      </w:r>
      <w:r w:rsidRPr="00A6411F">
        <w:rPr>
          <w:rFonts w:eastAsia="Times New Roman"/>
          <w:sz w:val="28"/>
          <w:szCs w:val="28"/>
        </w:rPr>
        <w:t xml:space="preserve"> тыс. рублей и в 201</w:t>
      </w:r>
      <w:r w:rsidR="00ED7E46" w:rsidRPr="00A6411F">
        <w:rPr>
          <w:rFonts w:eastAsia="Times New Roman"/>
          <w:sz w:val="28"/>
          <w:szCs w:val="28"/>
        </w:rPr>
        <w:t>6</w:t>
      </w:r>
      <w:r w:rsidRPr="00A6411F">
        <w:rPr>
          <w:rFonts w:eastAsia="Times New Roman"/>
          <w:sz w:val="28"/>
          <w:szCs w:val="28"/>
        </w:rPr>
        <w:t xml:space="preserve"> году в сумме</w:t>
      </w:r>
      <w:r w:rsidR="00ED7E46" w:rsidRPr="00A6411F">
        <w:rPr>
          <w:rFonts w:eastAsia="Times New Roman"/>
          <w:sz w:val="28"/>
          <w:szCs w:val="28"/>
        </w:rPr>
        <w:t xml:space="preserve"> 69 687,256</w:t>
      </w:r>
      <w:r w:rsidR="002D0853">
        <w:rPr>
          <w:rFonts w:eastAsia="Times New Roman"/>
          <w:sz w:val="28"/>
          <w:szCs w:val="28"/>
        </w:rPr>
        <w:t xml:space="preserve"> тыс. рублей.</w:t>
      </w:r>
    </w:p>
    <w:p w:rsidR="00D43E99" w:rsidRPr="00A6411F" w:rsidRDefault="00B14211" w:rsidP="00A6411F">
      <w:pPr>
        <w:shd w:val="clear" w:color="auto" w:fill="FFFFFF"/>
        <w:ind w:firstLine="567"/>
        <w:jc w:val="both"/>
        <w:rPr>
          <w:sz w:val="28"/>
          <w:szCs w:val="28"/>
        </w:rPr>
      </w:pPr>
      <w:r w:rsidRPr="00A6411F">
        <w:rPr>
          <w:rFonts w:eastAsia="Times New Roman"/>
          <w:sz w:val="28"/>
          <w:szCs w:val="28"/>
        </w:rPr>
        <w:t>При расчете межбюджетных трансфертов по разделу «Культура, кинематография и средства массовой информации» применен единый норматив стоимости предоставления муниципальных услуг в следующих размерах:</w:t>
      </w:r>
    </w:p>
    <w:p w:rsidR="00ED7E46" w:rsidRPr="00A6411F" w:rsidRDefault="00ED7E46" w:rsidP="00A6411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411F">
        <w:rPr>
          <w:sz w:val="28"/>
          <w:szCs w:val="28"/>
        </w:rPr>
        <w:t>норматив стоимости предоставления муниципальных услуг по организации библиотечного обслуживания населения, комплектованию и обеспечению сохранности библиотечных фондов библиотек на одного жителя – 210,49 руб. в 2014 году; 212,36 руб. в 2015 году; 214,34 руб. в 2016 году;</w:t>
      </w:r>
    </w:p>
    <w:p w:rsidR="00ED7E46" w:rsidRPr="00A6411F" w:rsidRDefault="00ED7E46" w:rsidP="00A6411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411F">
        <w:rPr>
          <w:sz w:val="28"/>
          <w:szCs w:val="28"/>
        </w:rPr>
        <w:t>норматив стоимости предоставления муниципальных услуг по организации музейного обслуживания и обеспечению сохранности музейных фондов на одного жителя – 30,39 руб. в 2014 году; 30,66 руб. в 2015 году; 30,95 руб. в 2016 году;</w:t>
      </w:r>
    </w:p>
    <w:p w:rsidR="00ED7E46" w:rsidRPr="00A6411F" w:rsidRDefault="00ED7E46" w:rsidP="00A6411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A6411F">
        <w:rPr>
          <w:sz w:val="28"/>
          <w:szCs w:val="28"/>
        </w:rPr>
        <w:t>норматив стоимости предоставления муниципальных услуг по созданию условий для организации досуга и обеспечению услугами организаций культуры на одного жителя – 408,0 руб. в 2014 году; 411,62 руб. в 2015 году; 415,45 руб. в 2016 году.</w:t>
      </w:r>
    </w:p>
    <w:p w:rsidR="00D43E99" w:rsidRPr="00A6411F" w:rsidRDefault="00ED7E46" w:rsidP="00A6411F">
      <w:pPr>
        <w:numPr>
          <w:ilvl w:val="0"/>
          <w:numId w:val="2"/>
        </w:numPr>
        <w:shd w:val="clear" w:color="auto" w:fill="FFFFFF"/>
        <w:tabs>
          <w:tab w:val="left" w:pos="773"/>
        </w:tabs>
        <w:ind w:left="0" w:firstLine="851"/>
        <w:jc w:val="both"/>
        <w:rPr>
          <w:sz w:val="28"/>
          <w:szCs w:val="28"/>
        </w:rPr>
      </w:pPr>
      <w:r w:rsidRPr="00A6411F">
        <w:rPr>
          <w:sz w:val="28"/>
          <w:szCs w:val="28"/>
        </w:rPr>
        <w:t xml:space="preserve">норматив стоимости предоставления муниципальных услуг по созданию условий для организации досуга и обеспечению услугами организаций </w:t>
      </w:r>
      <w:r w:rsidRPr="00A6411F">
        <w:rPr>
          <w:sz w:val="28"/>
          <w:szCs w:val="28"/>
        </w:rPr>
        <w:lastRenderedPageBreak/>
        <w:t xml:space="preserve">культуры на одного жителя – 457,95  руб., в том числе на организацию </w:t>
      </w:r>
      <w:proofErr w:type="spellStart"/>
      <w:r w:rsidRPr="00A6411F">
        <w:rPr>
          <w:sz w:val="28"/>
          <w:szCs w:val="28"/>
        </w:rPr>
        <w:t>общерайонных</w:t>
      </w:r>
      <w:proofErr w:type="spellEnd"/>
      <w:r w:rsidRPr="00A6411F">
        <w:rPr>
          <w:sz w:val="28"/>
          <w:szCs w:val="28"/>
        </w:rPr>
        <w:t xml:space="preserve"> мероприятий – 49,95 руб., в 2014 году; 462,02  руб., в том числе на организацию </w:t>
      </w:r>
      <w:proofErr w:type="spellStart"/>
      <w:r w:rsidRPr="00A6411F">
        <w:rPr>
          <w:sz w:val="28"/>
          <w:szCs w:val="28"/>
        </w:rPr>
        <w:t>общерайонных</w:t>
      </w:r>
      <w:proofErr w:type="spellEnd"/>
      <w:r w:rsidRPr="00A6411F">
        <w:rPr>
          <w:sz w:val="28"/>
          <w:szCs w:val="28"/>
        </w:rPr>
        <w:t xml:space="preserve"> мероприятий –50,40 руб., в 2015 году; 466,32 руб., в том числе на организацию </w:t>
      </w:r>
      <w:proofErr w:type="spellStart"/>
      <w:r w:rsidRPr="00A6411F">
        <w:rPr>
          <w:sz w:val="28"/>
          <w:szCs w:val="28"/>
        </w:rPr>
        <w:t>общерайонных</w:t>
      </w:r>
      <w:proofErr w:type="spellEnd"/>
      <w:r w:rsidRPr="00A6411F">
        <w:rPr>
          <w:sz w:val="28"/>
          <w:szCs w:val="28"/>
        </w:rPr>
        <w:t xml:space="preserve"> мероприятий – 50,87 руб., в 2016 году</w:t>
      </w:r>
      <w:r w:rsidR="00B14211" w:rsidRPr="00A6411F">
        <w:rPr>
          <w:rFonts w:eastAsia="Times New Roman"/>
          <w:sz w:val="28"/>
          <w:szCs w:val="28"/>
        </w:rPr>
        <w:t>.</w:t>
      </w:r>
    </w:p>
    <w:p w:rsidR="00D43E99" w:rsidRPr="00A6411F" w:rsidRDefault="00ED7E46" w:rsidP="00A6411F">
      <w:pPr>
        <w:shd w:val="clear" w:color="auto" w:fill="FFFFFF"/>
        <w:spacing w:before="240"/>
        <w:ind w:firstLine="567"/>
        <w:jc w:val="both"/>
        <w:rPr>
          <w:rFonts w:eastAsia="Times New Roman"/>
          <w:spacing w:val="-8"/>
          <w:sz w:val="28"/>
          <w:szCs w:val="28"/>
        </w:rPr>
      </w:pPr>
      <w:r w:rsidRPr="00A6411F">
        <w:rPr>
          <w:rFonts w:eastAsia="Times New Roman"/>
          <w:spacing w:val="-9"/>
          <w:sz w:val="28"/>
          <w:szCs w:val="28"/>
        </w:rPr>
        <w:t>3.</w:t>
      </w:r>
      <w:r w:rsidRPr="00A6411F">
        <w:rPr>
          <w:rFonts w:eastAsia="Times New Roman"/>
          <w:spacing w:val="-9"/>
          <w:sz w:val="28"/>
          <w:szCs w:val="28"/>
        </w:rPr>
        <w:tab/>
      </w:r>
      <w:proofErr w:type="gramStart"/>
      <w:r w:rsidR="00B14211" w:rsidRPr="00A6411F">
        <w:rPr>
          <w:rFonts w:eastAsia="Times New Roman"/>
          <w:spacing w:val="-9"/>
          <w:sz w:val="28"/>
          <w:szCs w:val="28"/>
        </w:rPr>
        <w:t xml:space="preserve">Межбюджетные трансферты (раздел 11 «Физическая культура и спорт»), </w:t>
      </w:r>
      <w:r w:rsidR="00B14211" w:rsidRPr="00A6411F">
        <w:rPr>
          <w:rFonts w:eastAsia="Times New Roman"/>
          <w:spacing w:val="-5"/>
          <w:sz w:val="28"/>
          <w:szCs w:val="28"/>
        </w:rPr>
        <w:t xml:space="preserve">передаваемые бюджету Зеленодольского муниципального района из </w:t>
      </w:r>
      <w:r w:rsidR="00B14211" w:rsidRPr="00A6411F">
        <w:rPr>
          <w:rFonts w:eastAsia="Times New Roman"/>
          <w:sz w:val="28"/>
          <w:szCs w:val="28"/>
        </w:rPr>
        <w:t xml:space="preserve">бюджета муниципального образования «город Зеленодольск» Зеленодольского муниципального района Республики Татарстан </w:t>
      </w:r>
      <w:r w:rsidR="00B14211" w:rsidRPr="00A6411F">
        <w:rPr>
          <w:rFonts w:eastAsia="Times New Roman"/>
          <w:spacing w:val="-9"/>
          <w:sz w:val="28"/>
          <w:szCs w:val="28"/>
        </w:rPr>
        <w:t xml:space="preserve">на решение вопросов местного значения в соответствии с заключенными </w:t>
      </w:r>
      <w:r w:rsidR="00B14211" w:rsidRPr="00A6411F">
        <w:rPr>
          <w:rFonts w:eastAsia="Times New Roman"/>
          <w:sz w:val="28"/>
          <w:szCs w:val="28"/>
        </w:rPr>
        <w:t xml:space="preserve">соглашениями и смет расходов по обеспечению мероприятий </w:t>
      </w:r>
      <w:r w:rsidR="00B14211" w:rsidRPr="00A6411F">
        <w:rPr>
          <w:rFonts w:eastAsia="Times New Roman"/>
          <w:spacing w:val="-6"/>
          <w:sz w:val="28"/>
          <w:szCs w:val="28"/>
        </w:rPr>
        <w:t xml:space="preserve">по физической и культуре и спорту в сумме </w:t>
      </w:r>
      <w:r w:rsidRPr="00A6411F">
        <w:rPr>
          <w:rFonts w:eastAsia="Times New Roman"/>
          <w:spacing w:val="-6"/>
          <w:sz w:val="28"/>
          <w:szCs w:val="28"/>
        </w:rPr>
        <w:t>1 316,400</w:t>
      </w:r>
      <w:r w:rsidR="00B14211" w:rsidRPr="00A6411F">
        <w:rPr>
          <w:rFonts w:eastAsia="Times New Roman"/>
          <w:spacing w:val="-6"/>
          <w:sz w:val="28"/>
          <w:szCs w:val="28"/>
        </w:rPr>
        <w:t xml:space="preserve"> тыс. руб. на 201</w:t>
      </w:r>
      <w:r w:rsidRPr="00A6411F">
        <w:rPr>
          <w:rFonts w:eastAsia="Times New Roman"/>
          <w:spacing w:val="-6"/>
          <w:sz w:val="28"/>
          <w:szCs w:val="28"/>
        </w:rPr>
        <w:t>4</w:t>
      </w:r>
      <w:r w:rsidR="00B14211" w:rsidRPr="00A6411F">
        <w:rPr>
          <w:rFonts w:eastAsia="Times New Roman"/>
          <w:spacing w:val="-6"/>
          <w:sz w:val="28"/>
          <w:szCs w:val="28"/>
        </w:rPr>
        <w:t xml:space="preserve"> </w:t>
      </w:r>
      <w:r w:rsidR="00B14211" w:rsidRPr="00A6411F">
        <w:rPr>
          <w:rFonts w:eastAsia="Times New Roman"/>
          <w:spacing w:val="-8"/>
          <w:sz w:val="28"/>
          <w:szCs w:val="28"/>
        </w:rPr>
        <w:t xml:space="preserve">год, </w:t>
      </w:r>
      <w:r w:rsidRPr="00A6411F">
        <w:rPr>
          <w:rFonts w:eastAsia="Times New Roman"/>
          <w:spacing w:val="-6"/>
          <w:sz w:val="28"/>
          <w:szCs w:val="28"/>
        </w:rPr>
        <w:t>1 316,400 тыс. руб</w:t>
      </w:r>
      <w:r w:rsidR="00B14211" w:rsidRPr="00A6411F">
        <w:rPr>
          <w:rFonts w:eastAsia="Times New Roman"/>
          <w:spacing w:val="-8"/>
          <w:sz w:val="28"/>
          <w:szCs w:val="28"/>
        </w:rPr>
        <w:t>. на</w:t>
      </w:r>
      <w:proofErr w:type="gramEnd"/>
      <w:r w:rsidR="00B14211" w:rsidRPr="00A6411F">
        <w:rPr>
          <w:rFonts w:eastAsia="Times New Roman"/>
          <w:spacing w:val="-8"/>
          <w:sz w:val="28"/>
          <w:szCs w:val="28"/>
        </w:rPr>
        <w:t xml:space="preserve"> 201</w:t>
      </w:r>
      <w:r w:rsidRPr="00A6411F">
        <w:rPr>
          <w:rFonts w:eastAsia="Times New Roman"/>
          <w:spacing w:val="-8"/>
          <w:sz w:val="28"/>
          <w:szCs w:val="28"/>
        </w:rPr>
        <w:t>5</w:t>
      </w:r>
      <w:r w:rsidR="00B14211" w:rsidRPr="00A6411F">
        <w:rPr>
          <w:rFonts w:eastAsia="Times New Roman"/>
          <w:spacing w:val="-8"/>
          <w:sz w:val="28"/>
          <w:szCs w:val="28"/>
        </w:rPr>
        <w:t xml:space="preserve"> год, </w:t>
      </w:r>
      <w:r w:rsidRPr="00A6411F">
        <w:rPr>
          <w:rFonts w:eastAsia="Times New Roman"/>
          <w:spacing w:val="-6"/>
          <w:sz w:val="28"/>
          <w:szCs w:val="28"/>
        </w:rPr>
        <w:t>1 316,400 тыс. руб</w:t>
      </w:r>
      <w:r w:rsidR="00B14211" w:rsidRPr="00A6411F">
        <w:rPr>
          <w:rFonts w:eastAsia="Times New Roman"/>
          <w:spacing w:val="-8"/>
          <w:sz w:val="28"/>
          <w:szCs w:val="28"/>
        </w:rPr>
        <w:t>. на 201</w:t>
      </w:r>
      <w:r w:rsidRPr="00A6411F">
        <w:rPr>
          <w:rFonts w:eastAsia="Times New Roman"/>
          <w:spacing w:val="-8"/>
          <w:sz w:val="28"/>
          <w:szCs w:val="28"/>
        </w:rPr>
        <w:t>6</w:t>
      </w:r>
      <w:r w:rsidR="00B14211" w:rsidRPr="00A6411F">
        <w:rPr>
          <w:rFonts w:eastAsia="Times New Roman"/>
          <w:spacing w:val="-8"/>
          <w:sz w:val="28"/>
          <w:szCs w:val="28"/>
        </w:rPr>
        <w:t xml:space="preserve"> год.</w:t>
      </w:r>
    </w:p>
    <w:p w:rsidR="00E04B32" w:rsidRPr="00A6411F" w:rsidRDefault="00ED7E46" w:rsidP="00A6411F">
      <w:pPr>
        <w:shd w:val="clear" w:color="auto" w:fill="FFFFFF"/>
        <w:spacing w:before="240"/>
        <w:ind w:firstLine="567"/>
        <w:jc w:val="both"/>
        <w:rPr>
          <w:rFonts w:eastAsia="Times New Roman"/>
          <w:sz w:val="28"/>
          <w:szCs w:val="28"/>
        </w:rPr>
      </w:pPr>
      <w:r w:rsidRPr="00A6411F">
        <w:rPr>
          <w:rFonts w:eastAsia="Times New Roman"/>
          <w:spacing w:val="-8"/>
          <w:sz w:val="28"/>
          <w:szCs w:val="28"/>
        </w:rPr>
        <w:t>4.</w:t>
      </w:r>
      <w:r w:rsidRPr="00A6411F">
        <w:rPr>
          <w:rFonts w:eastAsia="Times New Roman"/>
          <w:spacing w:val="-8"/>
          <w:sz w:val="28"/>
          <w:szCs w:val="28"/>
        </w:rPr>
        <w:tab/>
      </w:r>
      <w:r w:rsidRPr="00A6411F">
        <w:rPr>
          <w:rFonts w:eastAsia="Times New Roman"/>
          <w:spacing w:val="-9"/>
          <w:sz w:val="28"/>
          <w:szCs w:val="28"/>
        </w:rPr>
        <w:t>Межбюджетные трансферты (раздел 01 «</w:t>
      </w:r>
      <w:r w:rsidR="00E04B32" w:rsidRPr="00A6411F">
        <w:rPr>
          <w:rFonts w:eastAsia="Times New Roman"/>
          <w:spacing w:val="-9"/>
          <w:sz w:val="28"/>
          <w:szCs w:val="28"/>
        </w:rPr>
        <w:t>Общегосударственные вопросы</w:t>
      </w:r>
      <w:r w:rsidRPr="00A6411F">
        <w:rPr>
          <w:rFonts w:eastAsia="Times New Roman"/>
          <w:spacing w:val="-9"/>
          <w:sz w:val="28"/>
          <w:szCs w:val="28"/>
        </w:rPr>
        <w:t xml:space="preserve">»), </w:t>
      </w:r>
      <w:r w:rsidRPr="00A6411F">
        <w:rPr>
          <w:rFonts w:eastAsia="Times New Roman"/>
          <w:spacing w:val="-5"/>
          <w:sz w:val="28"/>
          <w:szCs w:val="28"/>
        </w:rPr>
        <w:t xml:space="preserve">передаваемые бюджету Зеленодольского муниципального района из </w:t>
      </w:r>
      <w:r w:rsidRPr="00A6411F">
        <w:rPr>
          <w:rFonts w:eastAsia="Times New Roman"/>
          <w:sz w:val="28"/>
          <w:szCs w:val="28"/>
        </w:rPr>
        <w:t xml:space="preserve">бюджета муниципального образования «город Зеленодольск» Зеленодольского муниципального района Республики Татарстан </w:t>
      </w:r>
      <w:r w:rsidRPr="00A6411F">
        <w:rPr>
          <w:rFonts w:eastAsia="Times New Roman"/>
          <w:spacing w:val="-9"/>
          <w:sz w:val="28"/>
          <w:szCs w:val="28"/>
        </w:rPr>
        <w:t xml:space="preserve">на решение вопросов местного значения в соответствии с заключенными </w:t>
      </w:r>
      <w:r w:rsidRPr="00A6411F">
        <w:rPr>
          <w:rFonts w:eastAsia="Times New Roman"/>
          <w:sz w:val="28"/>
          <w:szCs w:val="28"/>
        </w:rPr>
        <w:t>соглашениями</w:t>
      </w:r>
      <w:r w:rsidR="00E04B32" w:rsidRPr="00A6411F">
        <w:rPr>
          <w:rFonts w:eastAsia="Times New Roman"/>
          <w:sz w:val="28"/>
          <w:szCs w:val="28"/>
        </w:rPr>
        <w:t>:</w:t>
      </w:r>
    </w:p>
    <w:p w:rsidR="00ED7E46" w:rsidRPr="00A6411F" w:rsidRDefault="00E04B32" w:rsidP="00A6411F">
      <w:pPr>
        <w:shd w:val="clear" w:color="auto" w:fill="FFFFFF"/>
        <w:spacing w:after="240"/>
        <w:ind w:firstLine="851"/>
        <w:jc w:val="both"/>
        <w:rPr>
          <w:sz w:val="28"/>
          <w:szCs w:val="28"/>
        </w:rPr>
      </w:pPr>
      <w:r w:rsidRPr="00A6411F">
        <w:rPr>
          <w:rFonts w:eastAsia="Times New Roman"/>
          <w:sz w:val="28"/>
          <w:szCs w:val="28"/>
        </w:rPr>
        <w:t>-</w:t>
      </w:r>
      <w:r w:rsidRPr="00A6411F">
        <w:rPr>
          <w:rFonts w:eastAsia="Times New Roman"/>
          <w:sz w:val="28"/>
          <w:szCs w:val="28"/>
        </w:rPr>
        <w:tab/>
      </w:r>
      <w:r w:rsidRPr="00A6411F">
        <w:rPr>
          <w:sz w:val="28"/>
          <w:szCs w:val="28"/>
        </w:rPr>
        <w:t>по созданию условий для обеспечения жителей муниципального образования «город Зеленодольск» услугами связи, общественного питания, торговли и бытового обслуживания в 2014 году в сумме 551,451 тыс. руб., в 2015 году в сумме 565,506 тыс. руб., в 2016 году в сумме 579,931 тыс. руб.</w:t>
      </w:r>
    </w:p>
    <w:tbl>
      <w:tblPr>
        <w:tblW w:w="9796" w:type="dxa"/>
        <w:tblInd w:w="93" w:type="dxa"/>
        <w:tblLayout w:type="fixed"/>
        <w:tblLook w:val="04A0"/>
      </w:tblPr>
      <w:tblGrid>
        <w:gridCol w:w="2142"/>
        <w:gridCol w:w="850"/>
        <w:gridCol w:w="851"/>
        <w:gridCol w:w="2126"/>
        <w:gridCol w:w="1843"/>
        <w:gridCol w:w="1984"/>
      </w:tblGrid>
      <w:tr w:rsidR="005C5886" w:rsidRPr="001125C8" w:rsidTr="005C5886">
        <w:trPr>
          <w:trHeight w:val="24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1125C8">
              <w:rPr>
                <w:rFonts w:eastAsia="Times New Roman"/>
                <w:color w:val="000000"/>
                <w:sz w:val="18"/>
                <w:szCs w:val="18"/>
              </w:rPr>
              <w:t>.р</w:t>
            </w:r>
            <w:proofErr w:type="gramEnd"/>
            <w:r w:rsidRPr="001125C8">
              <w:rPr>
                <w:rFonts w:eastAsia="Times New Roman"/>
                <w:color w:val="000000"/>
                <w:sz w:val="18"/>
                <w:szCs w:val="18"/>
              </w:rPr>
              <w:t>уб.</w:t>
            </w:r>
          </w:p>
        </w:tc>
      </w:tr>
      <w:tr w:rsidR="005C5886" w:rsidRPr="001125C8" w:rsidTr="005C5886">
        <w:trPr>
          <w:trHeight w:val="12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кол-во штат</w:t>
            </w:r>
            <w:proofErr w:type="gramStart"/>
            <w:r w:rsidRPr="001125C8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1125C8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125C8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proofErr w:type="gramEnd"/>
            <w:r w:rsidRPr="001125C8">
              <w:rPr>
                <w:rFonts w:eastAsia="Times New Roman"/>
                <w:color w:val="000000"/>
                <w:sz w:val="18"/>
                <w:szCs w:val="18"/>
              </w:rPr>
              <w:t>дин.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Оклад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86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ФОТ на 2014 год с учетом повышения с 01.10.2014г.</w:t>
            </w:r>
          </w:p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 xml:space="preserve"> на 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86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ФОТ на 2015 год с учетом повышения с 01.10.2015г.</w:t>
            </w:r>
          </w:p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 xml:space="preserve"> на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886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 xml:space="preserve">ФОТ на 2016 год с учетом повышения с 01.10.2016г. </w:t>
            </w:r>
          </w:p>
          <w:p w:rsidR="001125C8" w:rsidRPr="001125C8" w:rsidRDefault="001125C8" w:rsidP="001125C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на 5%</w:t>
            </w:r>
          </w:p>
        </w:tc>
      </w:tr>
      <w:tr w:rsidR="005C5886" w:rsidRPr="001125C8" w:rsidTr="005C588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A6411F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4,809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307,617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315,744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324,086</w:t>
            </w:r>
          </w:p>
        </w:tc>
      </w:tr>
      <w:tr w:rsidR="005C5886" w:rsidRPr="001125C8" w:rsidTr="005C588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главный специалист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A6411F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3,507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224,335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230,262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236,345</w:t>
            </w:r>
          </w:p>
        </w:tc>
      </w:tr>
      <w:tr w:rsidR="005C5886" w:rsidRPr="001125C8" w:rsidTr="005C588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Итого ФОТ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531,951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546,006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560,431</w:t>
            </w:r>
          </w:p>
        </w:tc>
      </w:tr>
      <w:tr w:rsidR="005C5886" w:rsidRPr="001125C8" w:rsidTr="005C588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19,500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color w:val="000000"/>
                <w:sz w:val="18"/>
                <w:szCs w:val="18"/>
              </w:rPr>
              <w:t>19,500</w:t>
            </w:r>
          </w:p>
        </w:tc>
      </w:tr>
      <w:tr w:rsidR="005C5886" w:rsidRPr="001125C8" w:rsidTr="005C5886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1125C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551,451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565,506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5C8" w:rsidRPr="001125C8" w:rsidRDefault="001125C8" w:rsidP="005C588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125C8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579,931</w:t>
            </w:r>
          </w:p>
        </w:tc>
      </w:tr>
    </w:tbl>
    <w:p w:rsidR="005C5886" w:rsidRDefault="00E04B32" w:rsidP="00A6411F">
      <w:pPr>
        <w:shd w:val="clear" w:color="auto" w:fill="FFFFFF"/>
        <w:spacing w:before="240"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5C5886" w:rsidRPr="001B1488">
        <w:rPr>
          <w:sz w:val="28"/>
          <w:szCs w:val="28"/>
        </w:rPr>
        <w:t>по формированию, организации исполнения бюджета в 2014 году в сумме 835,251 тыс. руб., в 2015 году в сумме 856,961 тыс. руб., в 2016 году в сумме 879,245 тыс. руб.</w:t>
      </w:r>
    </w:p>
    <w:tbl>
      <w:tblPr>
        <w:tblW w:w="9796" w:type="dxa"/>
        <w:tblInd w:w="93" w:type="dxa"/>
        <w:tblLook w:val="04A0"/>
      </w:tblPr>
      <w:tblGrid>
        <w:gridCol w:w="2142"/>
        <w:gridCol w:w="850"/>
        <w:gridCol w:w="851"/>
        <w:gridCol w:w="2126"/>
        <w:gridCol w:w="1843"/>
        <w:gridCol w:w="1984"/>
      </w:tblGrid>
      <w:tr w:rsidR="00A6411F" w:rsidRPr="00A6411F" w:rsidTr="00A6411F">
        <w:trPr>
          <w:trHeight w:val="24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.р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>уб.</w:t>
            </w:r>
          </w:p>
        </w:tc>
      </w:tr>
      <w:tr w:rsidR="00A6411F" w:rsidRPr="00A6411F" w:rsidTr="00A6411F">
        <w:trPr>
          <w:trHeight w:val="6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кол-во штат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>дин.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Оклад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2014 год с учетом повышения с 01.10.2014г. на 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2015 год с учетом повышения с 01.10.2015г. на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2016 год с учетом повышения с 01.10.2016г. на 5%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Начальник упр.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5,044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322,66</w:t>
            </w:r>
            <w:r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331,192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339,942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Начальник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4,295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274,749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282,008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289,459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главный специалист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3,507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224,335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230,262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236,344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Итого ФОТ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821,751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843,461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865,745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13,500</w:t>
            </w:r>
          </w:p>
        </w:tc>
      </w:tr>
      <w:tr w:rsidR="00A6411F" w:rsidRPr="00A6411F" w:rsidTr="00A6411F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835,251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856,961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879,245</w:t>
            </w:r>
          </w:p>
        </w:tc>
      </w:tr>
    </w:tbl>
    <w:p w:rsidR="005C5886" w:rsidRDefault="005C5886" w:rsidP="00A6411F">
      <w:pPr>
        <w:shd w:val="clear" w:color="auto" w:fill="FFFFFF"/>
        <w:spacing w:before="240"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1B1488">
        <w:rPr>
          <w:sz w:val="28"/>
          <w:szCs w:val="28"/>
        </w:rPr>
        <w:t xml:space="preserve">по дорожной деятельности и обеспечению безопасности дорожного движения, созданию условий для предоставления транспортных услуг населению и организации транспортного обслуживания населения в 2014 году в </w:t>
      </w:r>
      <w:r w:rsidRPr="001B1488">
        <w:rPr>
          <w:sz w:val="28"/>
          <w:szCs w:val="28"/>
        </w:rPr>
        <w:lastRenderedPageBreak/>
        <w:t>сумме 532,198 тыс. руб., в 2015 году в сумме 545,921 тыс. руб., в 2016 году в сумме 560,006 тыс. руб</w:t>
      </w:r>
      <w:r w:rsidR="00A6411F">
        <w:rPr>
          <w:sz w:val="28"/>
          <w:szCs w:val="28"/>
        </w:rPr>
        <w:t>.</w:t>
      </w:r>
    </w:p>
    <w:tbl>
      <w:tblPr>
        <w:tblW w:w="9796" w:type="dxa"/>
        <w:tblInd w:w="93" w:type="dxa"/>
        <w:tblLook w:val="04A0"/>
      </w:tblPr>
      <w:tblGrid>
        <w:gridCol w:w="2142"/>
        <w:gridCol w:w="850"/>
        <w:gridCol w:w="851"/>
        <w:gridCol w:w="2126"/>
        <w:gridCol w:w="1843"/>
        <w:gridCol w:w="1984"/>
      </w:tblGrid>
      <w:tr w:rsidR="00A6411F" w:rsidRPr="00A6411F" w:rsidTr="00B83B0B">
        <w:trPr>
          <w:trHeight w:val="240"/>
        </w:trPr>
        <w:tc>
          <w:tcPr>
            <w:tcW w:w="3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.р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>уб.</w:t>
            </w:r>
          </w:p>
        </w:tc>
      </w:tr>
      <w:tr w:rsidR="00A6411F" w:rsidRPr="00A6411F" w:rsidTr="00B83B0B">
        <w:trPr>
          <w:trHeight w:val="12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кол-во штат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411F">
              <w:rPr>
                <w:rFonts w:eastAsia="Times New Roman"/>
                <w:color w:val="000000"/>
                <w:sz w:val="18"/>
                <w:szCs w:val="18"/>
              </w:rPr>
              <w:t>е</w:t>
            </w:r>
            <w:proofErr w:type="gramEnd"/>
            <w:r w:rsidRPr="00A6411F">
              <w:rPr>
                <w:rFonts w:eastAsia="Times New Roman"/>
                <w:color w:val="000000"/>
                <w:sz w:val="18"/>
                <w:szCs w:val="18"/>
              </w:rPr>
              <w:t>дин.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Оклад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2014 год с учетом повышения с 01.10.2014г. на 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2015 год с учетом повышения с 01.10.2015г. на 5%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ФОТ на 2016 год с учетом повышения с 01.10.2016г. на 5%</w:t>
            </w:r>
          </w:p>
        </w:tc>
      </w:tr>
      <w:tr w:rsidR="00A6411F" w:rsidRPr="00A6411F" w:rsidTr="00B83B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начальник отдела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4,809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307,617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315,744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324,086</w:t>
            </w:r>
          </w:p>
        </w:tc>
      </w:tr>
      <w:tr w:rsidR="00A6411F" w:rsidRPr="00A6411F" w:rsidTr="00B83B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вед</w:t>
            </w:r>
            <w:proofErr w:type="gramStart"/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.</w:t>
            </w:r>
            <w:proofErr w:type="gramEnd"/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с</w:t>
            </w:r>
            <w:proofErr w:type="gramEnd"/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пециалист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3,311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211,782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217,377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223,120</w:t>
            </w:r>
          </w:p>
        </w:tc>
      </w:tr>
      <w:tr w:rsidR="00A6411F" w:rsidRPr="00A6411F" w:rsidTr="00B83B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Итого ФОТ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519,398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533,121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547,206</w:t>
            </w:r>
          </w:p>
        </w:tc>
      </w:tr>
      <w:tr w:rsidR="00A6411F" w:rsidRPr="00A6411F" w:rsidTr="00B83B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12,800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12,800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color w:val="000000"/>
                <w:sz w:val="18"/>
                <w:szCs w:val="18"/>
              </w:rPr>
              <w:t>12,800</w:t>
            </w:r>
          </w:p>
        </w:tc>
      </w:tr>
      <w:tr w:rsidR="00A6411F" w:rsidRPr="00A6411F" w:rsidTr="00B83B0B">
        <w:trPr>
          <w:trHeight w:val="2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ИТОГО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A6411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532,198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545,921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11F" w:rsidRPr="00A6411F" w:rsidRDefault="00A6411F" w:rsidP="00B83B0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A6411F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560,006</w:t>
            </w:r>
          </w:p>
        </w:tc>
      </w:tr>
    </w:tbl>
    <w:p w:rsidR="00E04B32" w:rsidRDefault="005C5886" w:rsidP="00A6411F">
      <w:pPr>
        <w:shd w:val="clear" w:color="auto" w:fill="FFFFFF"/>
        <w:spacing w:before="240"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E04B32" w:rsidRPr="001B1488">
        <w:rPr>
          <w:sz w:val="28"/>
          <w:szCs w:val="28"/>
        </w:rPr>
        <w:t>в области архитектуры и градостроительства в 2014 году в сумме 1 686,832 тыс. руб., в 2015 году в сумме 1 731,398 тыс. руб., в 2016 году в сумме 1 777,142 тыс. руб.</w:t>
      </w:r>
      <w:r w:rsidR="002D0853">
        <w:rPr>
          <w:sz w:val="28"/>
          <w:szCs w:val="28"/>
        </w:rPr>
        <w:t xml:space="preserve"> (исходя из прогнозного количества выданных градостроительных планов земельных участков и разрешений на строительство).</w:t>
      </w:r>
    </w:p>
    <w:p w:rsidR="002D0853" w:rsidRDefault="002D0853" w:rsidP="00A6411F">
      <w:pPr>
        <w:shd w:val="clear" w:color="auto" w:fill="FFFFFF"/>
        <w:spacing w:before="240" w:after="240"/>
        <w:ind w:firstLine="851"/>
        <w:jc w:val="both"/>
        <w:rPr>
          <w:sz w:val="28"/>
          <w:szCs w:val="28"/>
        </w:rPr>
      </w:pPr>
    </w:p>
    <w:p w:rsidR="005C5886" w:rsidRDefault="005C5886" w:rsidP="00B83B0B">
      <w:pPr>
        <w:shd w:val="clear" w:color="auto" w:fill="FFFFFF"/>
        <w:spacing w:line="322" w:lineRule="exact"/>
        <w:jc w:val="both"/>
      </w:pPr>
    </w:p>
    <w:sectPr w:rsidR="005C5886" w:rsidSect="00A6411F">
      <w:pgSz w:w="11909" w:h="16834"/>
      <w:pgMar w:top="567" w:right="944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075A2"/>
    <w:lvl w:ilvl="0">
      <w:numFmt w:val="bullet"/>
      <w:lvlText w:val="*"/>
      <w:lvlJc w:val="left"/>
    </w:lvl>
  </w:abstractNum>
  <w:abstractNum w:abstractNumId="1">
    <w:nsid w:val="1E723785"/>
    <w:multiLevelType w:val="hybridMultilevel"/>
    <w:tmpl w:val="2F52D5D0"/>
    <w:lvl w:ilvl="0" w:tplc="53F075A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D7E46"/>
    <w:rsid w:val="001125C8"/>
    <w:rsid w:val="002D0853"/>
    <w:rsid w:val="005930BB"/>
    <w:rsid w:val="005C5886"/>
    <w:rsid w:val="00674A7A"/>
    <w:rsid w:val="007270DB"/>
    <w:rsid w:val="0081204D"/>
    <w:rsid w:val="00A6411F"/>
    <w:rsid w:val="00B14211"/>
    <w:rsid w:val="00B83B0B"/>
    <w:rsid w:val="00D43E99"/>
    <w:rsid w:val="00E04B32"/>
    <w:rsid w:val="00E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870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zele-zel_rfo8</dc:creator>
  <cp:keywords/>
  <dc:description/>
  <cp:lastModifiedBy>zele-zel_rfo8</cp:lastModifiedBy>
  <cp:revision>4</cp:revision>
  <cp:lastPrinted>2013-11-04T10:22:00Z</cp:lastPrinted>
  <dcterms:created xsi:type="dcterms:W3CDTF">2013-11-04T08:33:00Z</dcterms:created>
  <dcterms:modified xsi:type="dcterms:W3CDTF">2013-11-05T09:17:00Z</dcterms:modified>
</cp:coreProperties>
</file>