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B7" w:rsidRPr="00C162B6" w:rsidRDefault="006E2624" w:rsidP="006E26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2B6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6E2624" w:rsidRPr="00C162B6" w:rsidRDefault="00446391" w:rsidP="006E26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ПРИЕМЕ</w:t>
      </w:r>
      <w:bookmarkStart w:id="0" w:name="_GoBack"/>
      <w:bookmarkEnd w:id="0"/>
      <w:r w:rsidR="006E2624" w:rsidRPr="00C162B6">
        <w:rPr>
          <w:rFonts w:ascii="Times New Roman" w:hAnsi="Times New Roman" w:cs="Times New Roman"/>
          <w:b/>
          <w:sz w:val="32"/>
          <w:szCs w:val="32"/>
        </w:rPr>
        <w:t xml:space="preserve"> КОММУНАЛЬНЫХ ПЛАТЕЖЕЙ ПО ЕДИНОЙ КВИТАНЦИИ</w:t>
      </w:r>
      <w:r w:rsidR="00C162B6">
        <w:rPr>
          <w:rFonts w:ascii="Times New Roman" w:hAnsi="Times New Roman" w:cs="Times New Roman"/>
          <w:b/>
          <w:sz w:val="32"/>
          <w:szCs w:val="32"/>
        </w:rPr>
        <w:t xml:space="preserve">  В ОТДЕЛЕНИЯХ ПОЧТОВОЙ СВЯЗИ ЗЕЛЕНОДОЛЬСКОГО МЕЖРАЙОННОГО ПОЧТАМТА.</w:t>
      </w:r>
    </w:p>
    <w:p w:rsidR="006E2624" w:rsidRDefault="006E2624" w:rsidP="006E2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624" w:rsidRDefault="006E2624" w:rsidP="006E2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2624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 xml:space="preserve"> февраля 2014 г. в 10 отделениях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начат прием коммунальных платежей по единой квитанции. Это стало возможным благодаря совместным усилиям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МУП ИРЦ,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МПП ЖКХ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МРП.</w:t>
      </w:r>
    </w:p>
    <w:p w:rsidR="006E2624" w:rsidRDefault="006E2624" w:rsidP="006E2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 заключен, все технические вопросы отработаны.</w:t>
      </w:r>
    </w:p>
    <w:p w:rsidR="00FA5C2E" w:rsidRDefault="00984BA1" w:rsidP="006E2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</w:t>
      </w:r>
      <w:r w:rsidR="006E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28 февраля 2014 г. в</w:t>
      </w:r>
      <w:r w:rsidR="006E2624">
        <w:rPr>
          <w:rFonts w:ascii="Times New Roman" w:hAnsi="Times New Roman" w:cs="Times New Roman"/>
          <w:sz w:val="28"/>
          <w:szCs w:val="28"/>
        </w:rPr>
        <w:t xml:space="preserve"> отделениях почтовой связи ЗМРП принято 592</w:t>
      </w:r>
      <w:r w:rsidR="00CF4ED1">
        <w:rPr>
          <w:rFonts w:ascii="Times New Roman" w:hAnsi="Times New Roman" w:cs="Times New Roman"/>
          <w:sz w:val="28"/>
          <w:szCs w:val="28"/>
        </w:rPr>
        <w:t xml:space="preserve"> штуки единой</w:t>
      </w:r>
      <w:r w:rsidR="006E2624">
        <w:rPr>
          <w:rFonts w:ascii="Times New Roman" w:hAnsi="Times New Roman" w:cs="Times New Roman"/>
          <w:sz w:val="28"/>
          <w:szCs w:val="28"/>
        </w:rPr>
        <w:t xml:space="preserve"> квитанции на сумму более 145 тыс. рублей. Небольшое количество принятых платежей объясн</w:t>
      </w:r>
      <w:r w:rsidR="00FA5C2E">
        <w:rPr>
          <w:rFonts w:ascii="Times New Roman" w:hAnsi="Times New Roman" w:cs="Times New Roman"/>
          <w:sz w:val="28"/>
          <w:szCs w:val="28"/>
        </w:rPr>
        <w:t>я</w:t>
      </w:r>
      <w:r w:rsidR="006E2624">
        <w:rPr>
          <w:rFonts w:ascii="Times New Roman" w:hAnsi="Times New Roman" w:cs="Times New Roman"/>
          <w:sz w:val="28"/>
          <w:szCs w:val="28"/>
        </w:rPr>
        <w:t>ется</w:t>
      </w:r>
      <w:r w:rsidR="00FA5C2E">
        <w:rPr>
          <w:rFonts w:ascii="Times New Roman" w:hAnsi="Times New Roman" w:cs="Times New Roman"/>
          <w:sz w:val="28"/>
          <w:szCs w:val="28"/>
        </w:rPr>
        <w:t xml:space="preserve"> тем, что основной платежный период закончен. Это можно увидеть</w:t>
      </w:r>
      <w:r w:rsidR="00C162B6">
        <w:rPr>
          <w:rFonts w:ascii="Times New Roman" w:hAnsi="Times New Roman" w:cs="Times New Roman"/>
          <w:sz w:val="28"/>
          <w:szCs w:val="28"/>
        </w:rPr>
        <w:t>,</w:t>
      </w:r>
      <w:r w:rsidR="00FA5C2E">
        <w:rPr>
          <w:rFonts w:ascii="Times New Roman" w:hAnsi="Times New Roman" w:cs="Times New Roman"/>
          <w:sz w:val="28"/>
          <w:szCs w:val="28"/>
        </w:rPr>
        <w:t xml:space="preserve"> сравнив количество принятых  платежей по другим </w:t>
      </w:r>
      <w:r w:rsidR="000A435E">
        <w:rPr>
          <w:rFonts w:ascii="Times New Roman" w:hAnsi="Times New Roman" w:cs="Times New Roman"/>
          <w:sz w:val="28"/>
          <w:szCs w:val="28"/>
        </w:rPr>
        <w:t>поставщикам услуг</w:t>
      </w:r>
      <w:r w:rsidR="00FA5C2E">
        <w:rPr>
          <w:rFonts w:ascii="Times New Roman" w:hAnsi="Times New Roman" w:cs="Times New Roman"/>
          <w:sz w:val="28"/>
          <w:szCs w:val="28"/>
        </w:rPr>
        <w:t xml:space="preserve"> за февраль текущего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708"/>
        <w:gridCol w:w="851"/>
        <w:gridCol w:w="850"/>
        <w:gridCol w:w="1134"/>
        <w:gridCol w:w="851"/>
        <w:gridCol w:w="1134"/>
        <w:gridCol w:w="853"/>
        <w:gridCol w:w="955"/>
      </w:tblGrid>
      <w:tr w:rsidR="002429CF" w:rsidTr="005F3937">
        <w:tc>
          <w:tcPr>
            <w:tcW w:w="513" w:type="dxa"/>
            <w:vMerge w:val="restart"/>
          </w:tcPr>
          <w:p w:rsidR="002429CF" w:rsidRPr="002429CF" w:rsidRDefault="002429CF" w:rsidP="006E2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2" w:type="dxa"/>
            <w:vMerge w:val="restart"/>
          </w:tcPr>
          <w:p w:rsidR="002429CF" w:rsidRDefault="002429CF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отделений</w:t>
            </w:r>
          </w:p>
        </w:tc>
        <w:tc>
          <w:tcPr>
            <w:tcW w:w="1559" w:type="dxa"/>
            <w:gridSpan w:val="2"/>
          </w:tcPr>
          <w:p w:rsidR="002429CF" w:rsidRDefault="002429CF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квитанция</w:t>
            </w:r>
          </w:p>
        </w:tc>
        <w:tc>
          <w:tcPr>
            <w:tcW w:w="1984" w:type="dxa"/>
            <w:gridSpan w:val="2"/>
          </w:tcPr>
          <w:p w:rsidR="002429CF" w:rsidRDefault="002429CF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985" w:type="dxa"/>
            <w:gridSpan w:val="2"/>
          </w:tcPr>
          <w:p w:rsidR="002429CF" w:rsidRDefault="002429CF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808" w:type="dxa"/>
            <w:gridSpan w:val="2"/>
          </w:tcPr>
          <w:p w:rsidR="002429CF" w:rsidRDefault="002429CF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Таттелеком</w:t>
            </w:r>
            <w:proofErr w:type="spellEnd"/>
          </w:p>
        </w:tc>
      </w:tr>
      <w:tr w:rsidR="005F3937" w:rsidTr="005F3937">
        <w:tc>
          <w:tcPr>
            <w:tcW w:w="513" w:type="dxa"/>
            <w:vMerge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937" w:rsidRPr="005F3937" w:rsidRDefault="005F3937" w:rsidP="006E26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Кол. шт</w:t>
            </w:r>
            <w:proofErr w:type="gram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1" w:type="dxa"/>
          </w:tcPr>
          <w:p w:rsidR="005F3937" w:rsidRPr="005F3937" w:rsidRDefault="005F3937" w:rsidP="006E26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Сумма (</w:t>
            </w:r>
            <w:proofErr w:type="spell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3937" w:rsidRPr="005F3937" w:rsidRDefault="005F3937" w:rsidP="008F6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Кол. шт</w:t>
            </w:r>
            <w:proofErr w:type="gram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</w:tcPr>
          <w:p w:rsidR="005F3937" w:rsidRPr="005F3937" w:rsidRDefault="005F3937" w:rsidP="008F6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Сумма (</w:t>
            </w:r>
            <w:proofErr w:type="spell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F3937" w:rsidRPr="005F3937" w:rsidRDefault="005F3937" w:rsidP="008F6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Кол. шт</w:t>
            </w:r>
            <w:proofErr w:type="gram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</w:tcPr>
          <w:p w:rsidR="005F3937" w:rsidRPr="005F3937" w:rsidRDefault="005F3937" w:rsidP="008F6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Сумма (</w:t>
            </w:r>
            <w:proofErr w:type="spell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3" w:type="dxa"/>
          </w:tcPr>
          <w:p w:rsidR="005F3937" w:rsidRPr="005F3937" w:rsidRDefault="005F3937" w:rsidP="008F6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Кол. шт</w:t>
            </w:r>
            <w:proofErr w:type="gram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55" w:type="dxa"/>
          </w:tcPr>
          <w:p w:rsidR="005F3937" w:rsidRPr="005F3937" w:rsidRDefault="005F3937" w:rsidP="008F68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Сумма (</w:t>
            </w:r>
            <w:proofErr w:type="spell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F39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3937" w:rsidTr="005F3937">
        <w:tc>
          <w:tcPr>
            <w:tcW w:w="51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Нурлаты</w:t>
            </w:r>
          </w:p>
        </w:tc>
        <w:tc>
          <w:tcPr>
            <w:tcW w:w="708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850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1403,3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85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955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</w:tr>
      <w:tr w:rsidR="005F3937" w:rsidTr="005F3937">
        <w:tc>
          <w:tcPr>
            <w:tcW w:w="51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Кугеево</w:t>
            </w:r>
          </w:p>
        </w:tc>
        <w:tc>
          <w:tcPr>
            <w:tcW w:w="708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85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55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5F3937" w:rsidTr="005F3937">
        <w:tc>
          <w:tcPr>
            <w:tcW w:w="51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Кугушево</w:t>
            </w:r>
          </w:p>
        </w:tc>
        <w:tc>
          <w:tcPr>
            <w:tcW w:w="708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308,1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85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55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5F3937" w:rsidTr="005F3937">
        <w:tc>
          <w:tcPr>
            <w:tcW w:w="51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Акзегитово</w:t>
            </w:r>
            <w:proofErr w:type="spellEnd"/>
          </w:p>
        </w:tc>
        <w:tc>
          <w:tcPr>
            <w:tcW w:w="708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286,9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85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55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5F3937" w:rsidTr="005F3937">
        <w:tc>
          <w:tcPr>
            <w:tcW w:w="51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Ачасыры</w:t>
            </w:r>
            <w:proofErr w:type="spellEnd"/>
          </w:p>
        </w:tc>
        <w:tc>
          <w:tcPr>
            <w:tcW w:w="708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850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369,3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85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55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5F3937" w:rsidTr="005F3937">
        <w:tc>
          <w:tcPr>
            <w:tcW w:w="51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Азелеево</w:t>
            </w:r>
            <w:proofErr w:type="spellEnd"/>
          </w:p>
        </w:tc>
        <w:tc>
          <w:tcPr>
            <w:tcW w:w="708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850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85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55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5F3937" w:rsidTr="005F3937">
        <w:tc>
          <w:tcPr>
            <w:tcW w:w="51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Молвино</w:t>
            </w:r>
          </w:p>
        </w:tc>
        <w:tc>
          <w:tcPr>
            <w:tcW w:w="708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85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55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5F3937" w:rsidTr="005F3937">
        <w:tc>
          <w:tcPr>
            <w:tcW w:w="51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Ураспуги</w:t>
            </w:r>
            <w:proofErr w:type="spellEnd"/>
          </w:p>
        </w:tc>
        <w:tc>
          <w:tcPr>
            <w:tcW w:w="708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5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55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5F3937" w:rsidTr="005F3937">
        <w:tc>
          <w:tcPr>
            <w:tcW w:w="51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Утяшки</w:t>
            </w:r>
          </w:p>
        </w:tc>
        <w:tc>
          <w:tcPr>
            <w:tcW w:w="708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85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55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5F3937" w:rsidTr="005F3937">
        <w:tc>
          <w:tcPr>
            <w:tcW w:w="51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Т.Танаево</w:t>
            </w:r>
          </w:p>
        </w:tc>
        <w:tc>
          <w:tcPr>
            <w:tcW w:w="708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481,6</w:t>
            </w:r>
          </w:p>
        </w:tc>
        <w:tc>
          <w:tcPr>
            <w:tcW w:w="851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853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955" w:type="dxa"/>
          </w:tcPr>
          <w:p w:rsidR="005F3937" w:rsidRDefault="005F3937" w:rsidP="006E2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  <w:tr w:rsidR="005F3937" w:rsidRPr="000A435E" w:rsidTr="005F3937">
        <w:tc>
          <w:tcPr>
            <w:tcW w:w="513" w:type="dxa"/>
          </w:tcPr>
          <w:p w:rsidR="005F3937" w:rsidRPr="000A435E" w:rsidRDefault="005F3937" w:rsidP="006E2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F3937" w:rsidRPr="000A435E" w:rsidRDefault="005F3937" w:rsidP="006E2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5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</w:tcPr>
          <w:p w:rsidR="005F3937" w:rsidRPr="000A435E" w:rsidRDefault="005F3937" w:rsidP="006E2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5E">
              <w:rPr>
                <w:rFonts w:ascii="Times New Roman" w:hAnsi="Times New Roman" w:cs="Times New Roman"/>
                <w:b/>
                <w:sz w:val="28"/>
                <w:szCs w:val="28"/>
              </w:rPr>
              <w:t>592</w:t>
            </w:r>
          </w:p>
        </w:tc>
        <w:tc>
          <w:tcPr>
            <w:tcW w:w="851" w:type="dxa"/>
          </w:tcPr>
          <w:p w:rsidR="005F3937" w:rsidRPr="000A435E" w:rsidRDefault="005F3937" w:rsidP="006E2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5E">
              <w:rPr>
                <w:rFonts w:ascii="Times New Roman" w:hAnsi="Times New Roman" w:cs="Times New Roman"/>
                <w:b/>
                <w:sz w:val="28"/>
                <w:szCs w:val="28"/>
              </w:rPr>
              <w:t>145,8</w:t>
            </w:r>
          </w:p>
        </w:tc>
        <w:tc>
          <w:tcPr>
            <w:tcW w:w="850" w:type="dxa"/>
          </w:tcPr>
          <w:p w:rsidR="005F3937" w:rsidRPr="000A435E" w:rsidRDefault="005F3937" w:rsidP="006E2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5E">
              <w:rPr>
                <w:rFonts w:ascii="Times New Roman" w:hAnsi="Times New Roman" w:cs="Times New Roman"/>
                <w:b/>
                <w:sz w:val="28"/>
                <w:szCs w:val="28"/>
              </w:rPr>
              <w:t>2854</w:t>
            </w:r>
          </w:p>
        </w:tc>
        <w:tc>
          <w:tcPr>
            <w:tcW w:w="1134" w:type="dxa"/>
          </w:tcPr>
          <w:p w:rsidR="005F3937" w:rsidRPr="000A435E" w:rsidRDefault="005F3937" w:rsidP="006E2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5E">
              <w:rPr>
                <w:rFonts w:ascii="Times New Roman" w:hAnsi="Times New Roman" w:cs="Times New Roman"/>
                <w:b/>
                <w:sz w:val="28"/>
                <w:szCs w:val="28"/>
              </w:rPr>
              <w:t>4292,7</w:t>
            </w:r>
          </w:p>
        </w:tc>
        <w:tc>
          <w:tcPr>
            <w:tcW w:w="851" w:type="dxa"/>
          </w:tcPr>
          <w:p w:rsidR="005F3937" w:rsidRPr="000A435E" w:rsidRDefault="005F3937" w:rsidP="006E2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5E">
              <w:rPr>
                <w:rFonts w:ascii="Times New Roman" w:hAnsi="Times New Roman" w:cs="Times New Roman"/>
                <w:b/>
                <w:sz w:val="28"/>
                <w:szCs w:val="28"/>
              </w:rPr>
              <w:t>2431</w:t>
            </w:r>
          </w:p>
        </w:tc>
        <w:tc>
          <w:tcPr>
            <w:tcW w:w="1134" w:type="dxa"/>
          </w:tcPr>
          <w:p w:rsidR="005F3937" w:rsidRPr="000A435E" w:rsidRDefault="005F3937" w:rsidP="006E2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5E">
              <w:rPr>
                <w:rFonts w:ascii="Times New Roman" w:hAnsi="Times New Roman" w:cs="Times New Roman"/>
                <w:b/>
                <w:sz w:val="28"/>
                <w:szCs w:val="28"/>
              </w:rPr>
              <w:t>898,2</w:t>
            </w:r>
          </w:p>
        </w:tc>
        <w:tc>
          <w:tcPr>
            <w:tcW w:w="853" w:type="dxa"/>
          </w:tcPr>
          <w:p w:rsidR="005F3937" w:rsidRPr="000A435E" w:rsidRDefault="005F3937" w:rsidP="006E2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5E">
              <w:rPr>
                <w:rFonts w:ascii="Times New Roman" w:hAnsi="Times New Roman" w:cs="Times New Roman"/>
                <w:b/>
                <w:sz w:val="28"/>
                <w:szCs w:val="28"/>
              </w:rPr>
              <w:t>2703</w:t>
            </w:r>
          </w:p>
        </w:tc>
        <w:tc>
          <w:tcPr>
            <w:tcW w:w="955" w:type="dxa"/>
          </w:tcPr>
          <w:p w:rsidR="005F3937" w:rsidRPr="000A435E" w:rsidRDefault="005F3937" w:rsidP="006E26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5E">
              <w:rPr>
                <w:rFonts w:ascii="Times New Roman" w:hAnsi="Times New Roman" w:cs="Times New Roman"/>
                <w:b/>
                <w:sz w:val="28"/>
                <w:szCs w:val="28"/>
              </w:rPr>
              <w:t>986,4</w:t>
            </w:r>
          </w:p>
        </w:tc>
      </w:tr>
    </w:tbl>
    <w:p w:rsidR="00FA5C2E" w:rsidRDefault="00FA5C2E" w:rsidP="006E26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35E">
        <w:rPr>
          <w:rFonts w:ascii="Times New Roman" w:hAnsi="Times New Roman" w:cs="Times New Roman"/>
          <w:b/>
          <w:sz w:val="28"/>
          <w:szCs w:val="28"/>
        </w:rPr>
        <w:tab/>
      </w:r>
    </w:p>
    <w:p w:rsidR="000A435E" w:rsidRDefault="000A435E" w:rsidP="006E2624">
      <w:pPr>
        <w:jc w:val="both"/>
        <w:rPr>
          <w:rFonts w:ascii="Times New Roman" w:hAnsi="Times New Roman" w:cs="Times New Roman"/>
          <w:sz w:val="28"/>
          <w:szCs w:val="28"/>
        </w:rPr>
      </w:pPr>
      <w:r w:rsidRPr="000A435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пери</w:t>
      </w:r>
      <w:r w:rsidR="00984BA1">
        <w:rPr>
          <w:rFonts w:ascii="Times New Roman" w:hAnsi="Times New Roman" w:cs="Times New Roman"/>
          <w:sz w:val="28"/>
          <w:szCs w:val="28"/>
        </w:rPr>
        <w:t xml:space="preserve">од с 1-12 марта в данных </w:t>
      </w:r>
      <w:r w:rsidR="00CF4ED1">
        <w:rPr>
          <w:rFonts w:ascii="Times New Roman" w:hAnsi="Times New Roman" w:cs="Times New Roman"/>
          <w:sz w:val="28"/>
          <w:szCs w:val="28"/>
        </w:rPr>
        <w:t>отделениях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по единым квитанциям принято 86 платежей по остальным</w:t>
      </w:r>
      <w:r w:rsidR="00CF4ED1">
        <w:rPr>
          <w:rFonts w:ascii="Times New Roman" w:hAnsi="Times New Roman" w:cs="Times New Roman"/>
          <w:sz w:val="28"/>
          <w:szCs w:val="28"/>
        </w:rPr>
        <w:t xml:space="preserve"> поставщикам услуг</w:t>
      </w:r>
      <w:r>
        <w:rPr>
          <w:rFonts w:ascii="Times New Roman" w:hAnsi="Times New Roman" w:cs="Times New Roman"/>
          <w:sz w:val="28"/>
          <w:szCs w:val="28"/>
        </w:rPr>
        <w:t xml:space="preserve"> – от 92 до 94</w:t>
      </w:r>
      <w:r w:rsidR="00CF4ED1">
        <w:rPr>
          <w:rFonts w:ascii="Times New Roman" w:hAnsi="Times New Roman" w:cs="Times New Roman"/>
          <w:sz w:val="28"/>
          <w:szCs w:val="28"/>
        </w:rPr>
        <w:t xml:space="preserve"> платежей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997" w:rsidRDefault="00616997" w:rsidP="006E2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ED1" w:rsidRDefault="003307C0" w:rsidP="006E2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4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еленодольском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межрайонном почтамте функционирует 33 отделения почтовой связи и </w:t>
      </w:r>
      <w:r w:rsidR="00CF4ED1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CF4ED1">
        <w:rPr>
          <w:rFonts w:ascii="Times New Roman" w:hAnsi="Times New Roman" w:cs="Times New Roman"/>
          <w:sz w:val="28"/>
          <w:szCs w:val="28"/>
        </w:rPr>
        <w:t>х отделениях почтовой связи мы</w:t>
      </w:r>
      <w:r>
        <w:rPr>
          <w:rFonts w:ascii="Times New Roman" w:hAnsi="Times New Roman" w:cs="Times New Roman"/>
          <w:sz w:val="28"/>
          <w:szCs w:val="28"/>
        </w:rPr>
        <w:t xml:space="preserve"> готовы производить прием платежей по единой квитанции</w:t>
      </w:r>
      <w:r w:rsidR="00CF4ED1">
        <w:rPr>
          <w:rFonts w:ascii="Times New Roman" w:hAnsi="Times New Roman" w:cs="Times New Roman"/>
          <w:sz w:val="28"/>
          <w:szCs w:val="28"/>
        </w:rPr>
        <w:t>.</w:t>
      </w:r>
    </w:p>
    <w:p w:rsidR="000A435E" w:rsidRDefault="003307C0" w:rsidP="006E2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307C0">
        <w:rPr>
          <w:rFonts w:ascii="Times New Roman" w:hAnsi="Times New Roman" w:cs="Times New Roman"/>
          <w:sz w:val="28"/>
          <w:szCs w:val="28"/>
        </w:rPr>
        <w:t xml:space="preserve">Но 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данных работ поставщики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включенные в единую квитанцию должны открыть специальный банковский счет в соответствии с Федеральным законом 103-ФЗ</w:t>
      </w:r>
      <w:r w:rsidR="000A435E" w:rsidRPr="003307C0">
        <w:rPr>
          <w:rFonts w:ascii="Times New Roman" w:hAnsi="Times New Roman" w:cs="Times New Roman"/>
          <w:sz w:val="28"/>
          <w:szCs w:val="28"/>
        </w:rPr>
        <w:tab/>
      </w:r>
      <w:r w:rsidR="004E34A9">
        <w:rPr>
          <w:rFonts w:ascii="Times New Roman" w:hAnsi="Times New Roman" w:cs="Times New Roman"/>
          <w:sz w:val="28"/>
          <w:szCs w:val="28"/>
        </w:rPr>
        <w:t>.</w:t>
      </w:r>
    </w:p>
    <w:p w:rsidR="00C162B6" w:rsidRDefault="00C162B6" w:rsidP="00C1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Согласно п.18 ст.4 Закона 103-ФЗ п</w:t>
      </w:r>
      <w:r w:rsidRPr="0086639D">
        <w:rPr>
          <w:rFonts w:ascii="Times New Roman" w:hAnsi="Times New Roman"/>
          <w:sz w:val="28"/>
          <w:szCs w:val="28"/>
        </w:rPr>
        <w:t>оставщик при осуществлении расчетов с платежным агентом при приеме платежей обязан использовать специальный банковский счет. Поставщик не вправе получать денежные средства, принятые платежным агентом в качестве платежей, на банковские счета, не являющиеся специальными банковскими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C162B6" w:rsidRDefault="00C162B6" w:rsidP="00C1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Положению Банка России от 26.03.2007 года №302-П «О правилах ведения бухгалтерского учета в кредитных организациях, расположенных на территории РФ» специальный банковский счет подлежит открытию на банковском счете №40821 «Платежный агент, банковский платежный агент, поставщик».</w:t>
      </w:r>
      <w:r w:rsidRPr="005E0341">
        <w:rPr>
          <w:rFonts w:ascii="Times New Roman" w:hAnsi="Times New Roman"/>
          <w:sz w:val="28"/>
          <w:szCs w:val="28"/>
        </w:rPr>
        <w:t xml:space="preserve"> </w:t>
      </w:r>
    </w:p>
    <w:p w:rsidR="00C162B6" w:rsidRDefault="00C162B6" w:rsidP="00C1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п.4. ст.8 Закона №103-ФЗ п</w:t>
      </w:r>
      <w:r w:rsidRPr="0086639D">
        <w:rPr>
          <w:rFonts w:ascii="Times New Roman" w:hAnsi="Times New Roman"/>
          <w:sz w:val="28"/>
          <w:szCs w:val="28"/>
        </w:rPr>
        <w:t>рием платежей без зачисления принятых от физических лиц наличных денежных средств на специальный банковский счет, указанный в частях 14 и 15 статьи 4 настоящего Федерального закона, а также получение поставщиком денежных средств, принятых платежным агентом в качестве платежей, на банковские счета, не являющиеся специальными банковскими счетами, указанными в части 18 статьи</w:t>
      </w:r>
      <w:proofErr w:type="gramEnd"/>
      <w:r w:rsidRPr="0086639D">
        <w:rPr>
          <w:rFonts w:ascii="Times New Roman" w:hAnsi="Times New Roman"/>
          <w:sz w:val="28"/>
          <w:szCs w:val="28"/>
        </w:rPr>
        <w:t xml:space="preserve"> 4 настоящего Федерального закона, не допускаются.</w:t>
      </w:r>
    </w:p>
    <w:p w:rsidR="00C162B6" w:rsidRDefault="00C162B6" w:rsidP="00C1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B6" w:rsidRDefault="00C162B6" w:rsidP="00C1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только </w:t>
      </w:r>
      <w:proofErr w:type="spellStart"/>
      <w:r>
        <w:rPr>
          <w:rFonts w:ascii="Times New Roman" w:hAnsi="Times New Roman"/>
          <w:sz w:val="28"/>
          <w:szCs w:val="28"/>
        </w:rPr>
        <w:t>Нурлатское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МПП ЖКХ открыло </w:t>
      </w:r>
      <w:proofErr w:type="spellStart"/>
      <w:r>
        <w:rPr>
          <w:rFonts w:ascii="Times New Roman" w:hAnsi="Times New Roman"/>
          <w:sz w:val="28"/>
          <w:szCs w:val="28"/>
        </w:rPr>
        <w:t>спецсчет</w:t>
      </w:r>
      <w:proofErr w:type="spellEnd"/>
      <w:r>
        <w:rPr>
          <w:rFonts w:ascii="Times New Roman" w:hAnsi="Times New Roman"/>
          <w:sz w:val="28"/>
          <w:szCs w:val="28"/>
        </w:rPr>
        <w:t>. Поэтом</w:t>
      </w:r>
      <w:r w:rsidR="00984BA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остальных отделениях </w:t>
      </w:r>
      <w:r w:rsidR="00CF4ED1">
        <w:rPr>
          <w:rFonts w:ascii="Times New Roman" w:hAnsi="Times New Roman"/>
          <w:sz w:val="28"/>
          <w:szCs w:val="28"/>
        </w:rPr>
        <w:t>почтовой связи города и района</w:t>
      </w:r>
      <w:r>
        <w:rPr>
          <w:rFonts w:ascii="Times New Roman" w:hAnsi="Times New Roman"/>
          <w:sz w:val="28"/>
          <w:szCs w:val="28"/>
        </w:rPr>
        <w:t xml:space="preserve"> мы не можем принимать платежи по единой квитанции.</w:t>
      </w:r>
    </w:p>
    <w:p w:rsidR="00984BA1" w:rsidRDefault="00984BA1" w:rsidP="00C1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BA1" w:rsidRDefault="00984BA1" w:rsidP="0098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поставщикам услуг в феврале месяце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D1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во всех отделениях почтовой связи города Зеленодольска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приняты платежи за газ, электроэнергию и услуги электросвязи в следующем объеме:</w:t>
      </w:r>
    </w:p>
    <w:p w:rsidR="00984BA1" w:rsidRPr="00984BA1" w:rsidRDefault="00984BA1" w:rsidP="00984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595"/>
        <w:gridCol w:w="1314"/>
        <w:gridCol w:w="1417"/>
        <w:gridCol w:w="1418"/>
        <w:gridCol w:w="1560"/>
      </w:tblGrid>
      <w:tr w:rsidR="00984BA1" w:rsidTr="008F687A">
        <w:tc>
          <w:tcPr>
            <w:tcW w:w="594" w:type="dxa"/>
            <w:vMerge w:val="restart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5" w:type="dxa"/>
            <w:vMerge w:val="restart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платежей</w:t>
            </w:r>
          </w:p>
        </w:tc>
        <w:tc>
          <w:tcPr>
            <w:tcW w:w="2731" w:type="dxa"/>
            <w:gridSpan w:val="2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978" w:type="dxa"/>
            <w:gridSpan w:val="2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тыс. руб.</w:t>
            </w:r>
          </w:p>
        </w:tc>
      </w:tr>
      <w:tr w:rsidR="00984BA1" w:rsidTr="008F687A">
        <w:tc>
          <w:tcPr>
            <w:tcW w:w="594" w:type="dxa"/>
            <w:vMerge/>
          </w:tcPr>
          <w:p w:rsidR="00984BA1" w:rsidRPr="00C54A84" w:rsidRDefault="00984BA1" w:rsidP="008F6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</w:tcPr>
          <w:p w:rsidR="00984BA1" w:rsidRPr="00C54A84" w:rsidRDefault="00984BA1" w:rsidP="008F68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984BA1" w:rsidRPr="00C54A84" w:rsidRDefault="00984BA1" w:rsidP="008F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84BA1" w:rsidRPr="00C54A84" w:rsidRDefault="00984BA1" w:rsidP="008F687A">
            <w:pPr>
              <w:jc w:val="both"/>
              <w:rPr>
                <w:rFonts w:ascii="Times New Roman" w:hAnsi="Times New Roman" w:cs="Times New Roman"/>
              </w:rPr>
            </w:pPr>
            <w:r w:rsidRPr="00C54A84">
              <w:rPr>
                <w:rFonts w:ascii="Times New Roman" w:hAnsi="Times New Roman" w:cs="Times New Roman"/>
              </w:rPr>
              <w:t>В том числе по селу</w:t>
            </w:r>
          </w:p>
        </w:tc>
        <w:tc>
          <w:tcPr>
            <w:tcW w:w="1418" w:type="dxa"/>
          </w:tcPr>
          <w:p w:rsidR="00984BA1" w:rsidRPr="00C54A84" w:rsidRDefault="00984BA1" w:rsidP="008F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84BA1" w:rsidRPr="00C54A84" w:rsidRDefault="00984BA1" w:rsidP="008F687A">
            <w:pPr>
              <w:jc w:val="both"/>
              <w:rPr>
                <w:rFonts w:ascii="Times New Roman" w:hAnsi="Times New Roman" w:cs="Times New Roman"/>
              </w:rPr>
            </w:pPr>
            <w:r w:rsidRPr="00C54A84">
              <w:rPr>
                <w:rFonts w:ascii="Times New Roman" w:hAnsi="Times New Roman" w:cs="Times New Roman"/>
              </w:rPr>
              <w:t>В том числе по селу</w:t>
            </w:r>
          </w:p>
        </w:tc>
      </w:tr>
      <w:tr w:rsidR="00984BA1" w:rsidTr="008F687A">
        <w:tc>
          <w:tcPr>
            <w:tcW w:w="594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5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314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24636</w:t>
            </w:r>
          </w:p>
        </w:tc>
        <w:tc>
          <w:tcPr>
            <w:tcW w:w="1417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7598</w:t>
            </w:r>
          </w:p>
        </w:tc>
        <w:tc>
          <w:tcPr>
            <w:tcW w:w="1418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24043,7</w:t>
            </w:r>
          </w:p>
        </w:tc>
        <w:tc>
          <w:tcPr>
            <w:tcW w:w="1560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11847,4</w:t>
            </w:r>
          </w:p>
        </w:tc>
      </w:tr>
      <w:tr w:rsidR="00984BA1" w:rsidTr="008F687A">
        <w:tc>
          <w:tcPr>
            <w:tcW w:w="594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5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314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20406</w:t>
            </w:r>
          </w:p>
        </w:tc>
        <w:tc>
          <w:tcPr>
            <w:tcW w:w="1417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5985</w:t>
            </w:r>
          </w:p>
        </w:tc>
        <w:tc>
          <w:tcPr>
            <w:tcW w:w="1418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9099,8</w:t>
            </w:r>
          </w:p>
        </w:tc>
        <w:tc>
          <w:tcPr>
            <w:tcW w:w="1560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2608,4</w:t>
            </w:r>
          </w:p>
        </w:tc>
      </w:tr>
      <w:tr w:rsidR="00984BA1" w:rsidTr="008F687A">
        <w:tc>
          <w:tcPr>
            <w:tcW w:w="594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5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электросвязи</w:t>
            </w:r>
          </w:p>
        </w:tc>
        <w:tc>
          <w:tcPr>
            <w:tcW w:w="1314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21491</w:t>
            </w:r>
          </w:p>
        </w:tc>
        <w:tc>
          <w:tcPr>
            <w:tcW w:w="1417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5677</w:t>
            </w:r>
          </w:p>
        </w:tc>
        <w:tc>
          <w:tcPr>
            <w:tcW w:w="1418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77136,7</w:t>
            </w:r>
          </w:p>
        </w:tc>
        <w:tc>
          <w:tcPr>
            <w:tcW w:w="1560" w:type="dxa"/>
          </w:tcPr>
          <w:p w:rsidR="00984BA1" w:rsidRDefault="00984BA1" w:rsidP="008F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2130,7</w:t>
            </w:r>
          </w:p>
        </w:tc>
      </w:tr>
    </w:tbl>
    <w:p w:rsidR="00984BA1" w:rsidRDefault="00984BA1" w:rsidP="00984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4A9" w:rsidRPr="003307C0" w:rsidRDefault="004E34A9" w:rsidP="006E26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34A9" w:rsidRPr="0033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4"/>
    <w:rsid w:val="000A435E"/>
    <w:rsid w:val="002429CF"/>
    <w:rsid w:val="003307C0"/>
    <w:rsid w:val="00446391"/>
    <w:rsid w:val="004678C7"/>
    <w:rsid w:val="004E34A9"/>
    <w:rsid w:val="005F3937"/>
    <w:rsid w:val="00616997"/>
    <w:rsid w:val="006E2624"/>
    <w:rsid w:val="008A7344"/>
    <w:rsid w:val="008D25BF"/>
    <w:rsid w:val="00984BA1"/>
    <w:rsid w:val="009A6CB7"/>
    <w:rsid w:val="00C162B6"/>
    <w:rsid w:val="00C54A84"/>
    <w:rsid w:val="00CF4ED1"/>
    <w:rsid w:val="00D0087A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Сиверс</dc:creator>
  <cp:keywords/>
  <dc:description/>
  <cp:lastModifiedBy>Сиверс</cp:lastModifiedBy>
  <cp:revision>6</cp:revision>
  <cp:lastPrinted>2014-03-14T07:21:00Z</cp:lastPrinted>
  <dcterms:created xsi:type="dcterms:W3CDTF">2014-03-14T04:50:00Z</dcterms:created>
  <dcterms:modified xsi:type="dcterms:W3CDTF">2014-03-14T07:33:00Z</dcterms:modified>
</cp:coreProperties>
</file>