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64A" w:rsidRPr="00E2264A" w:rsidRDefault="00E2264A" w:rsidP="00E2264A">
      <w:pPr>
        <w:widowControl w:val="0"/>
        <w:spacing w:after="0" w:line="240" w:lineRule="auto"/>
        <w:ind w:left="0" w:firstLine="0"/>
        <w:jc w:val="center"/>
        <w:rPr>
          <w:rFonts w:eastAsia="Calibri"/>
          <w:color w:val="auto"/>
          <w:szCs w:val="28"/>
          <w:u w:val="single"/>
          <w:lang w:eastAsia="en-US"/>
        </w:rPr>
      </w:pPr>
      <w:r w:rsidRPr="00E2264A">
        <w:rPr>
          <w:rFonts w:eastAsia="Calibri"/>
          <w:color w:val="auto"/>
          <w:szCs w:val="28"/>
          <w:u w:val="single"/>
          <w:lang w:eastAsia="en-US"/>
        </w:rPr>
        <w:t>МУ «Контрольно-счетная палата Зеленодольского муниципального района»</w:t>
      </w:r>
    </w:p>
    <w:p w:rsidR="00E2264A" w:rsidRPr="00E2264A" w:rsidRDefault="00E2264A" w:rsidP="00E2264A">
      <w:pPr>
        <w:widowControl w:val="0"/>
        <w:spacing w:after="0" w:line="240" w:lineRule="auto"/>
        <w:ind w:left="0" w:firstLine="0"/>
        <w:jc w:val="center"/>
        <w:rPr>
          <w:rFonts w:eastAsia="Calibri"/>
          <w:color w:val="auto"/>
          <w:szCs w:val="28"/>
          <w:u w:val="single"/>
          <w:lang w:eastAsia="en-US"/>
        </w:rPr>
      </w:pPr>
    </w:p>
    <w:p w:rsidR="00E2264A" w:rsidRPr="00E2264A" w:rsidRDefault="00E2264A" w:rsidP="00E2264A">
      <w:pPr>
        <w:widowControl w:val="0"/>
        <w:spacing w:after="0" w:line="240" w:lineRule="auto"/>
        <w:ind w:left="0" w:firstLine="0"/>
        <w:jc w:val="center"/>
        <w:rPr>
          <w:rFonts w:eastAsia="Calibri"/>
          <w:color w:val="auto"/>
          <w:sz w:val="32"/>
          <w:szCs w:val="32"/>
          <w:lang w:eastAsia="en-US"/>
        </w:rPr>
      </w:pPr>
    </w:p>
    <w:p w:rsidR="00E2264A" w:rsidRPr="00E2264A" w:rsidRDefault="00E2264A" w:rsidP="00E2264A">
      <w:pPr>
        <w:widowControl w:val="0"/>
        <w:spacing w:after="0" w:line="240" w:lineRule="auto"/>
        <w:ind w:left="0" w:firstLine="0"/>
        <w:jc w:val="center"/>
        <w:rPr>
          <w:rFonts w:eastAsia="Calibri"/>
          <w:color w:val="auto"/>
          <w:sz w:val="32"/>
          <w:szCs w:val="32"/>
          <w:lang w:eastAsia="en-US"/>
        </w:rPr>
      </w:pPr>
    </w:p>
    <w:p w:rsidR="00E2264A" w:rsidRPr="00E2264A" w:rsidRDefault="00E2264A" w:rsidP="00E2264A">
      <w:pPr>
        <w:widowControl w:val="0"/>
        <w:spacing w:after="0" w:line="240" w:lineRule="auto"/>
        <w:ind w:left="0" w:firstLine="0"/>
        <w:jc w:val="center"/>
        <w:rPr>
          <w:rFonts w:eastAsia="Calibri"/>
          <w:color w:val="auto"/>
          <w:sz w:val="32"/>
          <w:szCs w:val="32"/>
          <w:lang w:eastAsia="en-US"/>
        </w:rPr>
      </w:pPr>
    </w:p>
    <w:p w:rsidR="00E2264A" w:rsidRPr="00E2264A" w:rsidRDefault="00E2264A" w:rsidP="00E2264A">
      <w:pPr>
        <w:widowControl w:val="0"/>
        <w:spacing w:after="0" w:line="240" w:lineRule="auto"/>
        <w:ind w:left="0" w:firstLine="0"/>
        <w:jc w:val="center"/>
        <w:rPr>
          <w:rFonts w:eastAsia="Calibri"/>
          <w:color w:val="auto"/>
          <w:sz w:val="32"/>
          <w:szCs w:val="32"/>
          <w:lang w:eastAsia="en-US"/>
        </w:rPr>
      </w:pPr>
    </w:p>
    <w:p w:rsidR="00E2264A" w:rsidRPr="00E2264A" w:rsidRDefault="00E2264A" w:rsidP="00E2264A">
      <w:pPr>
        <w:widowControl w:val="0"/>
        <w:spacing w:after="0" w:line="240" w:lineRule="auto"/>
        <w:ind w:left="0" w:firstLine="0"/>
        <w:jc w:val="center"/>
        <w:rPr>
          <w:rFonts w:eastAsia="Calibri"/>
          <w:color w:val="auto"/>
          <w:sz w:val="32"/>
          <w:szCs w:val="32"/>
          <w:lang w:eastAsia="en-US"/>
        </w:rPr>
      </w:pPr>
    </w:p>
    <w:p w:rsidR="00E2264A" w:rsidRPr="00E2264A" w:rsidRDefault="00E2264A" w:rsidP="00E2264A">
      <w:pPr>
        <w:widowControl w:val="0"/>
        <w:spacing w:after="0" w:line="240" w:lineRule="auto"/>
        <w:ind w:left="0" w:firstLine="0"/>
        <w:jc w:val="center"/>
        <w:rPr>
          <w:rFonts w:eastAsia="Calibri"/>
          <w:color w:val="auto"/>
          <w:sz w:val="32"/>
          <w:szCs w:val="32"/>
          <w:lang w:eastAsia="en-US"/>
        </w:rPr>
      </w:pPr>
    </w:p>
    <w:p w:rsidR="00E2264A" w:rsidRPr="00E2264A" w:rsidRDefault="00E2264A" w:rsidP="00E2264A">
      <w:pPr>
        <w:widowControl w:val="0"/>
        <w:spacing w:after="0" w:line="240" w:lineRule="auto"/>
        <w:ind w:left="0" w:firstLine="0"/>
        <w:jc w:val="center"/>
        <w:rPr>
          <w:rFonts w:eastAsia="Calibri"/>
          <w:color w:val="auto"/>
          <w:sz w:val="32"/>
          <w:szCs w:val="32"/>
          <w:lang w:eastAsia="en-US"/>
        </w:rPr>
      </w:pPr>
    </w:p>
    <w:p w:rsidR="00E2264A" w:rsidRPr="00E2264A" w:rsidRDefault="00E2264A" w:rsidP="00E2264A">
      <w:pPr>
        <w:widowControl w:val="0"/>
        <w:spacing w:after="0" w:line="240" w:lineRule="auto"/>
        <w:ind w:left="0" w:firstLine="0"/>
        <w:jc w:val="center"/>
        <w:rPr>
          <w:rFonts w:eastAsia="Calibri"/>
          <w:color w:val="auto"/>
          <w:sz w:val="32"/>
          <w:szCs w:val="32"/>
          <w:lang w:eastAsia="en-US"/>
        </w:rPr>
      </w:pPr>
    </w:p>
    <w:p w:rsidR="00E2264A" w:rsidRPr="00E2264A" w:rsidRDefault="00E2264A" w:rsidP="00E2264A">
      <w:pPr>
        <w:spacing w:after="0" w:line="300" w:lineRule="auto"/>
        <w:ind w:left="-284" w:right="-228" w:firstLine="0"/>
        <w:jc w:val="center"/>
        <w:rPr>
          <w:b/>
          <w:color w:val="auto"/>
          <w:sz w:val="36"/>
          <w:szCs w:val="36"/>
        </w:rPr>
      </w:pPr>
    </w:p>
    <w:p w:rsidR="00E2264A" w:rsidRPr="00E2264A" w:rsidRDefault="00E2264A" w:rsidP="00E2264A">
      <w:pPr>
        <w:spacing w:after="0" w:line="300" w:lineRule="auto"/>
        <w:ind w:left="-284" w:right="-228" w:firstLine="0"/>
        <w:jc w:val="center"/>
        <w:rPr>
          <w:b/>
          <w:color w:val="auto"/>
          <w:sz w:val="36"/>
          <w:szCs w:val="36"/>
        </w:rPr>
      </w:pPr>
    </w:p>
    <w:p w:rsidR="00E2264A" w:rsidRPr="00E2264A" w:rsidRDefault="00E2264A" w:rsidP="00E2264A">
      <w:pPr>
        <w:spacing w:after="0" w:line="300" w:lineRule="auto"/>
        <w:ind w:left="-284" w:right="-228" w:firstLine="0"/>
        <w:jc w:val="center"/>
        <w:rPr>
          <w:b/>
          <w:color w:val="auto"/>
          <w:sz w:val="36"/>
          <w:szCs w:val="36"/>
        </w:rPr>
      </w:pPr>
      <w:r w:rsidRPr="00E2264A">
        <w:rPr>
          <w:b/>
          <w:color w:val="auto"/>
          <w:sz w:val="36"/>
          <w:szCs w:val="36"/>
        </w:rPr>
        <w:t>Стандарт внешнего муниципального финансового контроля</w:t>
      </w:r>
    </w:p>
    <w:p w:rsidR="00E2264A" w:rsidRPr="00E2264A" w:rsidRDefault="00E2264A" w:rsidP="00E2264A">
      <w:pPr>
        <w:widowControl w:val="0"/>
        <w:spacing w:after="0" w:line="240" w:lineRule="auto"/>
        <w:ind w:left="0" w:firstLine="0"/>
        <w:jc w:val="center"/>
        <w:rPr>
          <w:rFonts w:eastAsia="Calibri"/>
          <w:b/>
          <w:color w:val="auto"/>
          <w:sz w:val="36"/>
          <w:szCs w:val="36"/>
          <w:lang w:eastAsia="en-US"/>
        </w:rPr>
      </w:pPr>
      <w:r w:rsidRPr="00E2264A">
        <w:rPr>
          <w:rFonts w:eastAsia="Calibri"/>
          <w:b/>
          <w:color w:val="auto"/>
          <w:sz w:val="36"/>
          <w:szCs w:val="36"/>
          <w:lang w:eastAsia="en-US"/>
        </w:rPr>
        <w:t>«Проведение финансово-экономической экспертизы проекта муниципальных программ»</w:t>
      </w:r>
    </w:p>
    <w:p w:rsidR="00E2264A" w:rsidRPr="00E2264A" w:rsidRDefault="00E2264A" w:rsidP="00E2264A">
      <w:pPr>
        <w:widowControl w:val="0"/>
        <w:spacing w:after="0" w:line="240" w:lineRule="auto"/>
        <w:ind w:left="0" w:firstLine="0"/>
        <w:jc w:val="center"/>
        <w:rPr>
          <w:rFonts w:eastAsia="Calibri"/>
          <w:b/>
          <w:color w:val="auto"/>
          <w:sz w:val="36"/>
          <w:szCs w:val="36"/>
          <w:lang w:eastAsia="en-US"/>
        </w:rPr>
      </w:pPr>
    </w:p>
    <w:p w:rsidR="00E2264A" w:rsidRPr="00E2264A" w:rsidRDefault="00E2264A" w:rsidP="00E2264A">
      <w:pPr>
        <w:spacing w:after="0" w:line="360" w:lineRule="auto"/>
        <w:ind w:left="0" w:firstLine="0"/>
        <w:jc w:val="center"/>
        <w:rPr>
          <w:i/>
          <w:sz w:val="24"/>
          <w:szCs w:val="24"/>
        </w:rPr>
      </w:pPr>
      <w:r w:rsidRPr="00E2264A">
        <w:rPr>
          <w:i/>
          <w:sz w:val="24"/>
          <w:szCs w:val="24"/>
        </w:rPr>
        <w:t>(</w:t>
      </w:r>
      <w:proofErr w:type="gramStart"/>
      <w:r w:rsidRPr="00E2264A">
        <w:rPr>
          <w:i/>
          <w:sz w:val="24"/>
          <w:szCs w:val="24"/>
        </w:rPr>
        <w:t>Утвержден</w:t>
      </w:r>
      <w:proofErr w:type="gramEnd"/>
      <w:r w:rsidRPr="00E2264A">
        <w:rPr>
          <w:i/>
          <w:sz w:val="24"/>
          <w:szCs w:val="24"/>
        </w:rPr>
        <w:t xml:space="preserve"> Решением Коллегии Контрольно-счетной палаты Зеленодольского муниципального района от «</w:t>
      </w:r>
      <w:r w:rsidR="00A92736">
        <w:rPr>
          <w:i/>
          <w:sz w:val="24"/>
          <w:szCs w:val="24"/>
        </w:rPr>
        <w:t>20</w:t>
      </w:r>
      <w:r w:rsidRPr="00E2264A">
        <w:rPr>
          <w:i/>
          <w:sz w:val="24"/>
          <w:szCs w:val="24"/>
        </w:rPr>
        <w:t>» февраля 2020 г. № </w:t>
      </w:r>
      <w:r w:rsidR="00A92736">
        <w:rPr>
          <w:i/>
          <w:sz w:val="24"/>
          <w:szCs w:val="24"/>
        </w:rPr>
        <w:t>6</w:t>
      </w:r>
      <w:r w:rsidRPr="00E2264A">
        <w:rPr>
          <w:i/>
          <w:sz w:val="24"/>
          <w:szCs w:val="24"/>
        </w:rPr>
        <w:t>)</w:t>
      </w:r>
    </w:p>
    <w:p w:rsidR="00E2264A" w:rsidRPr="00E2264A" w:rsidRDefault="00E2264A" w:rsidP="00E2264A">
      <w:pPr>
        <w:spacing w:before="240" w:after="60" w:line="276" w:lineRule="auto"/>
        <w:ind w:left="0" w:firstLine="0"/>
        <w:jc w:val="center"/>
        <w:outlineLvl w:val="2"/>
        <w:rPr>
          <w:rFonts w:ascii="Cambria" w:hAnsi="Cambria"/>
          <w:bCs/>
          <w:color w:val="auto"/>
          <w:sz w:val="26"/>
          <w:szCs w:val="28"/>
          <w:lang w:eastAsia="en-US"/>
        </w:rPr>
      </w:pPr>
    </w:p>
    <w:p w:rsidR="00E2264A" w:rsidRPr="00E2264A" w:rsidRDefault="00E2264A" w:rsidP="00E2264A">
      <w:pPr>
        <w:spacing w:after="200" w:line="276" w:lineRule="auto"/>
        <w:ind w:left="0" w:firstLine="0"/>
        <w:jc w:val="center"/>
        <w:rPr>
          <w:rFonts w:ascii="Calibri" w:eastAsia="Calibri" w:hAnsi="Calibri"/>
          <w:color w:val="auto"/>
          <w:szCs w:val="28"/>
          <w:lang w:eastAsia="en-US"/>
        </w:rPr>
      </w:pPr>
    </w:p>
    <w:p w:rsidR="00E2264A" w:rsidRPr="00E2264A" w:rsidRDefault="00E2264A" w:rsidP="00E2264A">
      <w:pPr>
        <w:spacing w:after="200" w:line="276" w:lineRule="auto"/>
        <w:ind w:left="0" w:firstLine="0"/>
        <w:jc w:val="center"/>
        <w:rPr>
          <w:rFonts w:ascii="Calibri" w:eastAsia="Calibri" w:hAnsi="Calibri"/>
          <w:color w:val="auto"/>
          <w:szCs w:val="28"/>
          <w:lang w:eastAsia="en-US"/>
        </w:rPr>
      </w:pPr>
    </w:p>
    <w:p w:rsidR="00E2264A" w:rsidRPr="00E2264A" w:rsidRDefault="00E2264A" w:rsidP="00E2264A">
      <w:pPr>
        <w:spacing w:after="200" w:line="276" w:lineRule="auto"/>
        <w:ind w:left="0" w:firstLine="0"/>
        <w:jc w:val="center"/>
        <w:rPr>
          <w:rFonts w:ascii="Calibri" w:eastAsia="Calibri" w:hAnsi="Calibri"/>
          <w:color w:val="auto"/>
          <w:szCs w:val="28"/>
          <w:lang w:eastAsia="en-US"/>
        </w:rPr>
      </w:pPr>
    </w:p>
    <w:p w:rsidR="00E2264A" w:rsidRPr="00E2264A" w:rsidRDefault="00E2264A" w:rsidP="00E2264A">
      <w:pPr>
        <w:spacing w:after="200" w:line="276" w:lineRule="auto"/>
        <w:ind w:left="0" w:firstLine="0"/>
        <w:jc w:val="center"/>
        <w:rPr>
          <w:rFonts w:ascii="Calibri" w:eastAsia="Calibri" w:hAnsi="Calibri"/>
          <w:color w:val="auto"/>
          <w:szCs w:val="28"/>
          <w:lang w:eastAsia="en-US"/>
        </w:rPr>
      </w:pPr>
    </w:p>
    <w:p w:rsidR="00E2264A" w:rsidRPr="00E2264A" w:rsidRDefault="00E2264A" w:rsidP="00E2264A">
      <w:pPr>
        <w:spacing w:after="200" w:line="276" w:lineRule="auto"/>
        <w:ind w:left="0" w:firstLine="0"/>
        <w:jc w:val="center"/>
        <w:rPr>
          <w:rFonts w:ascii="Calibri" w:eastAsia="Calibri" w:hAnsi="Calibri"/>
          <w:color w:val="auto"/>
          <w:szCs w:val="28"/>
          <w:lang w:eastAsia="en-US"/>
        </w:rPr>
      </w:pPr>
    </w:p>
    <w:p w:rsidR="00E2264A" w:rsidRPr="00E2264A" w:rsidRDefault="00E2264A" w:rsidP="00E2264A">
      <w:pPr>
        <w:spacing w:after="200" w:line="276" w:lineRule="auto"/>
        <w:ind w:left="0" w:firstLine="0"/>
        <w:jc w:val="center"/>
        <w:rPr>
          <w:rFonts w:ascii="Calibri" w:eastAsia="Calibri" w:hAnsi="Calibri"/>
          <w:color w:val="auto"/>
          <w:szCs w:val="28"/>
          <w:lang w:eastAsia="en-US"/>
        </w:rPr>
      </w:pPr>
    </w:p>
    <w:p w:rsidR="00E2264A" w:rsidRPr="00E2264A" w:rsidRDefault="00E2264A" w:rsidP="00E2264A">
      <w:pPr>
        <w:spacing w:after="200" w:line="276" w:lineRule="auto"/>
        <w:ind w:left="0" w:firstLine="0"/>
        <w:jc w:val="center"/>
        <w:rPr>
          <w:rFonts w:ascii="Calibri" w:eastAsia="Calibri" w:hAnsi="Calibri"/>
          <w:color w:val="auto"/>
          <w:szCs w:val="28"/>
          <w:lang w:eastAsia="en-US"/>
        </w:rPr>
      </w:pPr>
    </w:p>
    <w:p w:rsidR="00E2264A" w:rsidRPr="00E2264A" w:rsidRDefault="00E2264A" w:rsidP="00E2264A">
      <w:pPr>
        <w:spacing w:after="200" w:line="276" w:lineRule="auto"/>
        <w:ind w:left="0" w:firstLine="0"/>
        <w:jc w:val="center"/>
        <w:rPr>
          <w:rFonts w:ascii="Calibri" w:eastAsia="Calibri" w:hAnsi="Calibri"/>
          <w:color w:val="auto"/>
          <w:szCs w:val="28"/>
          <w:lang w:eastAsia="en-US"/>
        </w:rPr>
      </w:pPr>
    </w:p>
    <w:p w:rsidR="00E2264A" w:rsidRPr="00E2264A" w:rsidRDefault="00E2264A" w:rsidP="00E2264A">
      <w:pPr>
        <w:spacing w:after="200" w:line="276" w:lineRule="auto"/>
        <w:ind w:left="0" w:firstLine="0"/>
        <w:jc w:val="center"/>
        <w:rPr>
          <w:rFonts w:eastAsia="Calibri"/>
          <w:color w:val="auto"/>
          <w:szCs w:val="28"/>
          <w:lang w:eastAsia="en-US"/>
        </w:rPr>
      </w:pPr>
      <w:r w:rsidRPr="00E2264A">
        <w:rPr>
          <w:rFonts w:eastAsia="Calibri"/>
          <w:color w:val="auto"/>
          <w:szCs w:val="28"/>
          <w:lang w:eastAsia="en-US"/>
        </w:rPr>
        <w:t>Зеленодольск 2020 год</w:t>
      </w:r>
    </w:p>
    <w:p w:rsidR="00E2264A" w:rsidRPr="00E2264A" w:rsidRDefault="00E2264A" w:rsidP="00E2264A">
      <w:pPr>
        <w:widowControl w:val="0"/>
        <w:spacing w:after="0" w:line="240" w:lineRule="auto"/>
        <w:ind w:left="0"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:rsidR="00D815D5" w:rsidRDefault="00D815D5">
      <w:pPr>
        <w:spacing w:after="133" w:line="259" w:lineRule="auto"/>
        <w:ind w:left="78" w:firstLine="0"/>
        <w:jc w:val="center"/>
      </w:pPr>
    </w:p>
    <w:p w:rsidR="00D815D5" w:rsidRDefault="00D815D5">
      <w:pPr>
        <w:spacing w:after="131" w:line="259" w:lineRule="auto"/>
        <w:ind w:left="78" w:firstLine="0"/>
        <w:jc w:val="center"/>
      </w:pPr>
    </w:p>
    <w:p w:rsidR="00D815D5" w:rsidRDefault="00D815D5">
      <w:pPr>
        <w:spacing w:after="132" w:line="259" w:lineRule="auto"/>
        <w:ind w:left="78" w:firstLine="0"/>
        <w:jc w:val="center"/>
      </w:pPr>
    </w:p>
    <w:p w:rsidR="00D815D5" w:rsidRDefault="00D815D5">
      <w:pPr>
        <w:spacing w:after="0" w:line="259" w:lineRule="auto"/>
        <w:ind w:left="78" w:firstLine="0"/>
        <w:jc w:val="center"/>
      </w:pPr>
    </w:p>
    <w:p w:rsidR="00D815D5" w:rsidRDefault="00A373B8">
      <w:pPr>
        <w:tabs>
          <w:tab w:val="center" w:pos="4920"/>
          <w:tab w:val="center" w:pos="9424"/>
        </w:tabs>
        <w:spacing w:after="108" w:line="259" w:lineRule="auto"/>
        <w:ind w:left="0" w:firstLine="0"/>
        <w:jc w:val="left"/>
      </w:pPr>
      <w:r>
        <w:tab/>
        <w:t xml:space="preserve">Содержание </w:t>
      </w:r>
      <w:r>
        <w:tab/>
      </w:r>
    </w:p>
    <w:p w:rsidR="00D815D5" w:rsidRDefault="00D815D5">
      <w:pPr>
        <w:spacing w:after="152" w:line="259" w:lineRule="auto"/>
        <w:ind w:left="0" w:right="205" w:firstLine="0"/>
        <w:jc w:val="center"/>
      </w:pPr>
    </w:p>
    <w:p w:rsidR="00D815D5" w:rsidRDefault="00A373B8" w:rsidP="00E2264A">
      <w:pPr>
        <w:numPr>
          <w:ilvl w:val="0"/>
          <w:numId w:val="1"/>
        </w:numPr>
        <w:spacing w:after="150" w:line="259" w:lineRule="auto"/>
        <w:ind w:left="525" w:right="85" w:hanging="383"/>
      </w:pPr>
      <w:r>
        <w:t xml:space="preserve">Общие положения…………………………………………………………… 3 </w:t>
      </w:r>
    </w:p>
    <w:p w:rsidR="00D815D5" w:rsidRDefault="00A373B8" w:rsidP="00E2264A">
      <w:pPr>
        <w:numPr>
          <w:ilvl w:val="0"/>
          <w:numId w:val="1"/>
        </w:numPr>
        <w:spacing w:after="0" w:line="240" w:lineRule="auto"/>
        <w:ind w:left="527" w:right="85" w:hanging="383"/>
      </w:pPr>
      <w:r>
        <w:t xml:space="preserve">Содержание </w:t>
      </w:r>
      <w:r>
        <w:tab/>
        <w:t xml:space="preserve">финансово-экономической </w:t>
      </w:r>
      <w:r>
        <w:tab/>
        <w:t xml:space="preserve">экспертизы </w:t>
      </w:r>
      <w:r>
        <w:tab/>
        <w:t xml:space="preserve">проекта  </w:t>
      </w:r>
    </w:p>
    <w:p w:rsidR="00E2264A" w:rsidRDefault="00E2264A" w:rsidP="00E2264A">
      <w:pPr>
        <w:tabs>
          <w:tab w:val="left" w:pos="9639"/>
          <w:tab w:val="left" w:pos="9923"/>
        </w:tabs>
        <w:spacing w:after="0" w:line="240" w:lineRule="auto"/>
        <w:ind w:left="527" w:right="478" w:firstLine="0"/>
      </w:pPr>
      <w:r>
        <w:t>муниципальной</w:t>
      </w:r>
      <w:r w:rsidR="00A373B8">
        <w:t xml:space="preserve"> программы………………………………………………</w:t>
      </w:r>
      <w:r>
        <w:t>…    4</w:t>
      </w:r>
    </w:p>
    <w:p w:rsidR="00E2264A" w:rsidRDefault="00E2264A" w:rsidP="00E2264A">
      <w:pPr>
        <w:tabs>
          <w:tab w:val="left" w:pos="9639"/>
          <w:tab w:val="left" w:pos="9923"/>
        </w:tabs>
        <w:spacing w:after="0" w:line="240" w:lineRule="auto"/>
        <w:ind w:left="527" w:right="478" w:firstLine="0"/>
      </w:pPr>
    </w:p>
    <w:p w:rsidR="00D815D5" w:rsidRDefault="00A373B8" w:rsidP="00E2264A">
      <w:pPr>
        <w:spacing w:line="240" w:lineRule="auto"/>
        <w:ind w:left="567" w:right="690" w:hanging="425"/>
      </w:pPr>
      <w:r>
        <w:t xml:space="preserve">3. Вопросы финансово-экономической экспертизы проекта </w:t>
      </w:r>
    </w:p>
    <w:p w:rsidR="00D815D5" w:rsidRDefault="00E2264A" w:rsidP="00E2264A">
      <w:pPr>
        <w:tabs>
          <w:tab w:val="center" w:pos="4625"/>
          <w:tab w:val="center" w:pos="9528"/>
        </w:tabs>
        <w:spacing w:after="159" w:line="240" w:lineRule="auto"/>
        <w:ind w:left="386" w:hanging="386"/>
        <w:jc w:val="left"/>
      </w:pPr>
      <w:r>
        <w:tab/>
        <w:t>муниципальной</w:t>
      </w:r>
      <w:r w:rsidR="00A373B8">
        <w:t xml:space="preserve"> программы……………................................................ </w:t>
      </w:r>
      <w:r w:rsidR="00A373B8">
        <w:tab/>
        <w:t xml:space="preserve">6 </w:t>
      </w:r>
    </w:p>
    <w:p w:rsidR="00E2264A" w:rsidRDefault="00A373B8" w:rsidP="00E2264A">
      <w:pPr>
        <w:tabs>
          <w:tab w:val="left" w:pos="9923"/>
        </w:tabs>
        <w:ind w:left="525" w:right="85" w:hanging="383"/>
      </w:pPr>
      <w:r>
        <w:t xml:space="preserve">4.Оформление результатов финансово-экономической экспертизы </w:t>
      </w:r>
    </w:p>
    <w:p w:rsidR="00D815D5" w:rsidRDefault="00A373B8" w:rsidP="00E2264A">
      <w:pPr>
        <w:tabs>
          <w:tab w:val="left" w:pos="9923"/>
        </w:tabs>
        <w:ind w:left="525" w:right="85" w:hanging="383"/>
      </w:pPr>
      <w:r>
        <w:t xml:space="preserve">проекта </w:t>
      </w:r>
      <w:r w:rsidR="00E2264A">
        <w:t>муниципаль</w:t>
      </w:r>
      <w:r>
        <w:t xml:space="preserve">ной программы……………………………………… 6 </w:t>
      </w:r>
    </w:p>
    <w:p w:rsidR="00D815D5" w:rsidRDefault="00D815D5">
      <w:pPr>
        <w:spacing w:after="181" w:line="259" w:lineRule="auto"/>
        <w:ind w:left="101" w:firstLine="0"/>
        <w:jc w:val="left"/>
      </w:pPr>
    </w:p>
    <w:p w:rsidR="00D815D5" w:rsidRDefault="00A373B8">
      <w:pPr>
        <w:spacing w:after="88" w:line="259" w:lineRule="auto"/>
        <w:ind w:left="14" w:right="385" w:hanging="10"/>
        <w:jc w:val="center"/>
      </w:pPr>
      <w:r>
        <w:t xml:space="preserve">Приложение: Типовой перечень вопросов, рассматриваемых в ходе </w:t>
      </w:r>
    </w:p>
    <w:p w:rsidR="00E2264A" w:rsidRDefault="00A373B8">
      <w:pPr>
        <w:ind w:left="2336" w:right="85" w:firstLine="0"/>
      </w:pPr>
      <w:r>
        <w:t xml:space="preserve">проведения финансово-экономической экспертизы </w:t>
      </w:r>
    </w:p>
    <w:p w:rsidR="00D815D5" w:rsidRDefault="00A373B8">
      <w:pPr>
        <w:ind w:left="2336" w:right="85" w:firstLine="0"/>
      </w:pPr>
      <w:r>
        <w:t xml:space="preserve">проекта </w:t>
      </w:r>
      <w:r w:rsidR="00E2264A">
        <w:t>муниципальной</w:t>
      </w:r>
      <w:r>
        <w:t xml:space="preserve"> программы </w:t>
      </w:r>
    </w:p>
    <w:p w:rsidR="00D815D5" w:rsidRDefault="00D815D5">
      <w:pPr>
        <w:spacing w:after="245" w:line="259" w:lineRule="auto"/>
        <w:ind w:left="101" w:firstLine="0"/>
        <w:jc w:val="left"/>
      </w:pPr>
    </w:p>
    <w:p w:rsidR="00D815D5" w:rsidRDefault="00D815D5">
      <w:pPr>
        <w:spacing w:after="102" w:line="259" w:lineRule="auto"/>
        <w:ind w:left="101" w:firstLine="0"/>
        <w:jc w:val="left"/>
      </w:pPr>
    </w:p>
    <w:p w:rsidR="00D815D5" w:rsidRDefault="00D815D5">
      <w:pPr>
        <w:spacing w:after="131" w:line="259" w:lineRule="auto"/>
        <w:ind w:left="78" w:firstLine="0"/>
        <w:jc w:val="center"/>
      </w:pPr>
    </w:p>
    <w:p w:rsidR="00D815D5" w:rsidRDefault="00A373B8">
      <w:pPr>
        <w:spacing w:after="0" w:line="259" w:lineRule="auto"/>
        <w:ind w:left="78" w:firstLine="0"/>
        <w:jc w:val="center"/>
      </w:pPr>
      <w:r>
        <w:br w:type="page"/>
      </w:r>
    </w:p>
    <w:p w:rsidR="00D815D5" w:rsidRDefault="00A373B8">
      <w:pPr>
        <w:pStyle w:val="1"/>
        <w:spacing w:after="127"/>
        <w:ind w:left="310" w:right="24" w:hanging="281"/>
      </w:pPr>
      <w:r>
        <w:lastRenderedPageBreak/>
        <w:t xml:space="preserve">Общие положения </w:t>
      </w:r>
    </w:p>
    <w:p w:rsidR="00D815D5" w:rsidRDefault="00D815D5">
      <w:pPr>
        <w:spacing w:after="181" w:line="259" w:lineRule="auto"/>
        <w:ind w:left="78" w:firstLine="0"/>
        <w:jc w:val="center"/>
      </w:pPr>
    </w:p>
    <w:p w:rsidR="00D815D5" w:rsidRDefault="00A373B8">
      <w:pPr>
        <w:ind w:left="86" w:right="85"/>
      </w:pPr>
      <w:r>
        <w:t xml:space="preserve">1.1. </w:t>
      </w:r>
      <w:proofErr w:type="gramStart"/>
      <w:r>
        <w:t xml:space="preserve">Стандарт внешнего </w:t>
      </w:r>
      <w:r w:rsidR="00E2264A">
        <w:t>муниципального</w:t>
      </w:r>
      <w:r>
        <w:t xml:space="preserve"> финансового контроля «Проведение финансово-экономической экспертизы проекта </w:t>
      </w:r>
      <w:r w:rsidR="00E2264A">
        <w:t>муниципальной</w:t>
      </w:r>
      <w:r>
        <w:t xml:space="preserve"> программы» (далее – Стандарт) предназначен для методологического обеспечения реализации полномочий </w:t>
      </w:r>
      <w:r w:rsidR="00C47B69">
        <w:t>Контрольно-с</w:t>
      </w:r>
      <w:r>
        <w:t xml:space="preserve">четной палаты </w:t>
      </w:r>
      <w:r w:rsidR="00C47B69">
        <w:t>Зеленодольского муниципального района</w:t>
      </w:r>
      <w:r>
        <w:t xml:space="preserve">, определенных статьей 157 Бюджетного кодекса Российской Федерации, статьей 47.1 Бюджетного кодекса Республики Татарстан, </w:t>
      </w:r>
      <w:r w:rsidR="00F4496A">
        <w:t>Положением о Контрольно-счетной палате Зеленодольского муниципального района от 29.10.2019 № 4</w:t>
      </w:r>
      <w:r w:rsidR="005909CB">
        <w:t>3</w:t>
      </w:r>
      <w:r w:rsidR="00F4496A">
        <w:t>6</w:t>
      </w:r>
      <w:r>
        <w:t xml:space="preserve">, </w:t>
      </w:r>
      <w:r w:rsidRPr="005909CB">
        <w:t xml:space="preserve">а также Порядком разработки, реализации и оценки эффективности </w:t>
      </w:r>
      <w:r w:rsidR="005909CB" w:rsidRPr="005909CB">
        <w:t>муниципальных</w:t>
      </w:r>
      <w:r w:rsidRPr="005909CB">
        <w:t xml:space="preserve"> программ (утв. постановлением </w:t>
      </w:r>
      <w:r w:rsidR="005909CB" w:rsidRPr="005909CB">
        <w:t>Исполнительного</w:t>
      </w:r>
      <w:proofErr w:type="gramEnd"/>
      <w:r w:rsidR="005909CB" w:rsidRPr="005909CB">
        <w:t xml:space="preserve"> комитета Зеленодольского муниципального района</w:t>
      </w:r>
      <w:r w:rsidRPr="005909CB">
        <w:t xml:space="preserve"> от </w:t>
      </w:r>
      <w:r w:rsidR="005909CB" w:rsidRPr="005909CB">
        <w:t>26</w:t>
      </w:r>
      <w:r w:rsidRPr="005909CB">
        <w:t>.</w:t>
      </w:r>
      <w:r w:rsidR="005909CB" w:rsidRPr="005909CB">
        <w:t>06</w:t>
      </w:r>
      <w:r w:rsidRPr="005909CB">
        <w:t>.201</w:t>
      </w:r>
      <w:r w:rsidR="005909CB" w:rsidRPr="005909CB">
        <w:t>8</w:t>
      </w:r>
      <w:r w:rsidRPr="005909CB">
        <w:t xml:space="preserve"> № </w:t>
      </w:r>
      <w:r w:rsidR="005909CB" w:rsidRPr="005909CB">
        <w:t>03-03-1341</w:t>
      </w:r>
      <w:r w:rsidRPr="005909CB">
        <w:t>).</w:t>
      </w:r>
    </w:p>
    <w:p w:rsidR="00D815D5" w:rsidRDefault="00A373B8">
      <w:pPr>
        <w:ind w:left="86" w:right="85"/>
      </w:pPr>
      <w:r>
        <w:t xml:space="preserve">1.2. </w:t>
      </w:r>
      <w:proofErr w:type="gramStart"/>
      <w:r>
        <w:t xml:space="preserve">Стандарт разработан в соответствии с требованиями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1F51FD">
        <w:t>Положением о Контрольно-счетной палате Зеленодольского муниципального района от 29.10.2019 № 4</w:t>
      </w:r>
      <w:r w:rsidR="005909CB">
        <w:t>3</w:t>
      </w:r>
      <w:r w:rsidR="001F51FD">
        <w:t>6</w:t>
      </w:r>
      <w:r>
        <w:t>, на основе Общих требований к стандартам внешнего государственного и муниципального контроля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</w:t>
      </w:r>
      <w:proofErr w:type="gramEnd"/>
      <w:r>
        <w:t xml:space="preserve"> (утв. Коллегией Счетной палаты Российской Федерации от 17.10.2014</w:t>
      </w:r>
      <w:r w:rsidR="000B19F4">
        <w:t xml:space="preserve"> № 47К</w:t>
      </w:r>
      <w:bookmarkStart w:id="0" w:name="_GoBack"/>
      <w:bookmarkEnd w:id="0"/>
      <w:r>
        <w:t xml:space="preserve">). </w:t>
      </w:r>
    </w:p>
    <w:p w:rsidR="00D815D5" w:rsidRDefault="00A373B8">
      <w:pPr>
        <w:ind w:left="86" w:right="85"/>
      </w:pPr>
      <w:r>
        <w:t xml:space="preserve">1.3.Целью Стандарта является установление общих правил проведения </w:t>
      </w:r>
      <w:r w:rsidR="001F51FD">
        <w:t>Контрольно-с</w:t>
      </w:r>
      <w:r>
        <w:t xml:space="preserve">четной палатой </w:t>
      </w:r>
      <w:r w:rsidR="001F51FD">
        <w:t>Зеленодольского муниципального района</w:t>
      </w:r>
      <w:r>
        <w:t xml:space="preserve"> (далее – </w:t>
      </w:r>
      <w:r w:rsidR="001F51FD">
        <w:t>К</w:t>
      </w:r>
      <w:r w:rsidR="00297D93">
        <w:t>онтрольно-счетная</w:t>
      </w:r>
      <w:r>
        <w:t xml:space="preserve"> палата) финансово</w:t>
      </w:r>
      <w:r w:rsidR="001F51FD">
        <w:t>-</w:t>
      </w:r>
      <w:r>
        <w:t xml:space="preserve">экономической экспертизы проекта </w:t>
      </w:r>
      <w:r w:rsidR="001F51FD">
        <w:t>муниципальн</w:t>
      </w:r>
      <w:r>
        <w:t xml:space="preserve">ой программы. </w:t>
      </w:r>
    </w:p>
    <w:p w:rsidR="00D815D5" w:rsidRDefault="00A373B8">
      <w:pPr>
        <w:spacing w:after="154" w:line="259" w:lineRule="auto"/>
        <w:ind w:left="809" w:right="85" w:firstLine="0"/>
      </w:pPr>
      <w:r>
        <w:t xml:space="preserve">1.4.Задачами Стандарта являются: </w:t>
      </w:r>
    </w:p>
    <w:p w:rsidR="00D815D5" w:rsidRDefault="00A373B8">
      <w:pPr>
        <w:numPr>
          <w:ilvl w:val="0"/>
          <w:numId w:val="2"/>
        </w:numPr>
        <w:ind w:right="85"/>
      </w:pPr>
      <w:r>
        <w:t xml:space="preserve">установление требований к содержанию финансово-экономической экспертизы проекта </w:t>
      </w:r>
      <w:r w:rsidR="001F51FD">
        <w:t>муниципальной</w:t>
      </w:r>
      <w:r>
        <w:t xml:space="preserve"> программы (далее – экспертиза проекта </w:t>
      </w:r>
      <w:r w:rsidR="001F51FD">
        <w:t>муниципальной</w:t>
      </w:r>
      <w:r>
        <w:t xml:space="preserve"> программы); </w:t>
      </w:r>
    </w:p>
    <w:p w:rsidR="00D815D5" w:rsidRDefault="00A373B8">
      <w:pPr>
        <w:numPr>
          <w:ilvl w:val="0"/>
          <w:numId w:val="2"/>
        </w:numPr>
        <w:ind w:right="85"/>
      </w:pPr>
      <w:r>
        <w:lastRenderedPageBreak/>
        <w:t xml:space="preserve">определение типовых вопросов, рассматриваемых в ходе проведения экспертизы проекта </w:t>
      </w:r>
      <w:r w:rsidR="001F51FD">
        <w:t>муниципаль</w:t>
      </w:r>
      <w:r>
        <w:t xml:space="preserve">ной программы. </w:t>
      </w:r>
    </w:p>
    <w:p w:rsidR="00D815D5" w:rsidRDefault="00A373B8" w:rsidP="00297D93">
      <w:pPr>
        <w:numPr>
          <w:ilvl w:val="1"/>
          <w:numId w:val="3"/>
        </w:numPr>
        <w:spacing w:line="360" w:lineRule="auto"/>
        <w:ind w:left="85" w:right="85"/>
      </w:pPr>
      <w:r>
        <w:t xml:space="preserve">Вопросы организации и порядка подготовки, проведения и оформления результатов экспертизы проекта </w:t>
      </w:r>
      <w:r w:rsidR="001F51FD">
        <w:t>муниципаль</w:t>
      </w:r>
      <w:r>
        <w:t xml:space="preserve">ной программы регулируются Стандартом внешнего </w:t>
      </w:r>
      <w:r w:rsidR="001F51FD">
        <w:t>муниципаль</w:t>
      </w:r>
      <w:r>
        <w:t xml:space="preserve">ного финансового контроля «Проведение экспертно-аналитического мероприятия». </w:t>
      </w:r>
    </w:p>
    <w:p w:rsidR="00D815D5" w:rsidRDefault="00A373B8" w:rsidP="00297D93">
      <w:pPr>
        <w:numPr>
          <w:ilvl w:val="1"/>
          <w:numId w:val="3"/>
        </w:numPr>
        <w:spacing w:after="100" w:line="360" w:lineRule="auto"/>
        <w:ind w:left="85" w:right="85" w:firstLine="0"/>
      </w:pPr>
      <w:proofErr w:type="gramStart"/>
      <w:r>
        <w:t xml:space="preserve">Решение вопросов, возникающих в ходе проведения экспертизы проекта </w:t>
      </w:r>
      <w:r w:rsidR="001F51FD">
        <w:t>муниципаль</w:t>
      </w:r>
      <w:r>
        <w:t xml:space="preserve">ной программы и не урегулированных Регламентом </w:t>
      </w:r>
      <w:r w:rsidR="00297D93">
        <w:t>Контрольно-с</w:t>
      </w:r>
      <w:r>
        <w:t xml:space="preserve">четной палаты, данным Стандартом, Стандартом внешнего </w:t>
      </w:r>
      <w:r w:rsidR="005909CB">
        <w:t>муниципального</w:t>
      </w:r>
      <w:r>
        <w:t xml:space="preserve"> финансового контроля «Проведение экспертно-аналитического мероприятия» осуществляется в соответствии с действующим законодательством, а также распоряжениями Председателя </w:t>
      </w:r>
      <w:r w:rsidR="00297D93">
        <w:t>Контрольно-с</w:t>
      </w:r>
      <w:r>
        <w:t xml:space="preserve">четной палаты. </w:t>
      </w:r>
      <w:proofErr w:type="gramEnd"/>
    </w:p>
    <w:p w:rsidR="00D815D5" w:rsidRDefault="00D815D5">
      <w:pPr>
        <w:spacing w:after="160" w:line="259" w:lineRule="auto"/>
        <w:ind w:left="780" w:firstLine="0"/>
        <w:jc w:val="left"/>
      </w:pPr>
    </w:p>
    <w:p w:rsidR="00D815D5" w:rsidRDefault="00A373B8">
      <w:pPr>
        <w:pStyle w:val="1"/>
        <w:ind w:left="310" w:right="28" w:hanging="281"/>
      </w:pPr>
      <w:r>
        <w:t xml:space="preserve">Содержание экспертизы проекта </w:t>
      </w:r>
      <w:r w:rsidR="005909CB">
        <w:t>муниципальной</w:t>
      </w:r>
      <w:r>
        <w:t xml:space="preserve"> программы </w:t>
      </w:r>
    </w:p>
    <w:p w:rsidR="00D815D5" w:rsidRDefault="00D815D5">
      <w:pPr>
        <w:spacing w:after="153" w:line="259" w:lineRule="auto"/>
        <w:ind w:left="780" w:firstLine="0"/>
        <w:jc w:val="left"/>
      </w:pPr>
    </w:p>
    <w:p w:rsidR="00D815D5" w:rsidRDefault="00A373B8">
      <w:pPr>
        <w:ind w:left="86" w:right="85"/>
      </w:pPr>
      <w:r>
        <w:t xml:space="preserve">2.1. Объектом экспертизы проекта </w:t>
      </w:r>
      <w:r w:rsidR="00297D93">
        <w:t>муниципальной</w:t>
      </w:r>
      <w:r>
        <w:t xml:space="preserve"> программы является проект </w:t>
      </w:r>
      <w:r w:rsidR="00297D93">
        <w:t>муниципальн</w:t>
      </w:r>
      <w:r>
        <w:t xml:space="preserve">ой программы, направленный </w:t>
      </w:r>
      <w:r w:rsidR="00297D93">
        <w:t>муниципальным</w:t>
      </w:r>
      <w:r>
        <w:t xml:space="preserve"> заказчиком </w:t>
      </w:r>
      <w:r w:rsidR="00297D93">
        <w:t>муниципаль</w:t>
      </w:r>
      <w:r>
        <w:t xml:space="preserve">ной программы в </w:t>
      </w:r>
      <w:r w:rsidR="00297D93">
        <w:t>Контрольно-с</w:t>
      </w:r>
      <w:r>
        <w:t xml:space="preserve">четную палату для проведения экспертизы. </w:t>
      </w:r>
    </w:p>
    <w:p w:rsidR="00D815D5" w:rsidRDefault="00A373B8">
      <w:pPr>
        <w:ind w:left="86" w:right="85"/>
      </w:pPr>
      <w:r>
        <w:t xml:space="preserve">2.2. Целью экспертизы проекта </w:t>
      </w:r>
      <w:r w:rsidR="00297D93">
        <w:t>муниципальной</w:t>
      </w:r>
      <w:r>
        <w:t xml:space="preserve"> программы является оценка обоснованности и достоверности (реалистичности) объемов финансового обеспечения </w:t>
      </w:r>
      <w:r w:rsidR="00297D93">
        <w:t>муниципаль</w:t>
      </w:r>
      <w:r>
        <w:t xml:space="preserve">ной программы, соответствие проекта </w:t>
      </w:r>
      <w:r w:rsidR="00297D93">
        <w:t>муниципальной</w:t>
      </w:r>
      <w:r>
        <w:t xml:space="preserve"> программы нормам законодательства Российской Федерации</w:t>
      </w:r>
      <w:r w:rsidR="00297D93">
        <w:t>,</w:t>
      </w:r>
      <w:r>
        <w:t xml:space="preserve"> Республики Татарстан</w:t>
      </w:r>
      <w:r w:rsidR="00297D93">
        <w:t xml:space="preserve"> и муниципальным нормативно-правовым актам</w:t>
      </w:r>
      <w:r>
        <w:t xml:space="preserve">. </w:t>
      </w:r>
    </w:p>
    <w:p w:rsidR="00D815D5" w:rsidRDefault="00A373B8">
      <w:pPr>
        <w:ind w:left="86" w:right="85"/>
      </w:pPr>
      <w:r>
        <w:t xml:space="preserve">2.3. Экспертиза проекта </w:t>
      </w:r>
      <w:r w:rsidR="00297D93">
        <w:t>муниципальн</w:t>
      </w:r>
      <w:r>
        <w:t xml:space="preserve">ой программы осуществляется, в том числе на предмет: </w:t>
      </w:r>
    </w:p>
    <w:p w:rsidR="00D815D5" w:rsidRDefault="00A373B8">
      <w:pPr>
        <w:numPr>
          <w:ilvl w:val="0"/>
          <w:numId w:val="4"/>
        </w:numPr>
        <w:ind w:right="85"/>
      </w:pPr>
      <w:proofErr w:type="gramStart"/>
      <w:r>
        <w:t xml:space="preserve">соответствия целей и задач проекта </w:t>
      </w:r>
      <w:r w:rsidR="00297D93">
        <w:t>муниципальной</w:t>
      </w:r>
      <w:r>
        <w:t xml:space="preserve"> программы приоритетам, озвученным в Послании Президента Российской Федерации Федеральному Собранию Российской Федерации, Послании Президента </w:t>
      </w:r>
      <w:r>
        <w:lastRenderedPageBreak/>
        <w:t>Республики Татарстан Государственному Совету Республики Татарстан, основным направлениям государственной политики, определенным в стратегиях (концепциях, программах) долгосрочного социально-экономического развития Российской Федерации и (или) Республики Татарстан</w:t>
      </w:r>
      <w:r w:rsidR="00297D93">
        <w:t>, Зеленодольского муниципального района</w:t>
      </w:r>
      <w:r>
        <w:t>, инвестиционном меморандуме Республики Татарстан, а также целям и задачам аналогичной государственной программы Российской</w:t>
      </w:r>
      <w:proofErr w:type="gramEnd"/>
      <w:r>
        <w:t xml:space="preserve"> Федерации (при ее наличии);  </w:t>
      </w:r>
    </w:p>
    <w:p w:rsidR="00D815D5" w:rsidRDefault="00A373B8">
      <w:pPr>
        <w:numPr>
          <w:ilvl w:val="0"/>
          <w:numId w:val="4"/>
        </w:numPr>
        <w:ind w:right="85"/>
      </w:pPr>
      <w:r>
        <w:t xml:space="preserve">соответствия проекта </w:t>
      </w:r>
      <w:r w:rsidR="00297D93">
        <w:t>муниципальн</w:t>
      </w:r>
      <w:r>
        <w:t xml:space="preserve">ой программы требованиям, установленным статьей 179 Бюджетного кодекса Российской Федерации; </w:t>
      </w:r>
    </w:p>
    <w:p w:rsidR="00D815D5" w:rsidRDefault="00A373B8">
      <w:pPr>
        <w:numPr>
          <w:ilvl w:val="0"/>
          <w:numId w:val="4"/>
        </w:numPr>
        <w:ind w:right="85"/>
      </w:pPr>
      <w:r>
        <w:t xml:space="preserve">соответствия проекта </w:t>
      </w:r>
      <w:r w:rsidR="00360B75">
        <w:t>муниципальной</w:t>
      </w:r>
      <w:r>
        <w:t xml:space="preserve"> программы требованиям, установленным Порядком разработки, реализации и оценки эффективности </w:t>
      </w:r>
      <w:r w:rsidR="00360B75">
        <w:t>муниципальных</w:t>
      </w:r>
      <w:r>
        <w:t xml:space="preserve"> программ  (по составу и содержанию). </w:t>
      </w:r>
    </w:p>
    <w:p w:rsidR="00D815D5" w:rsidRDefault="00A373B8">
      <w:pPr>
        <w:numPr>
          <w:ilvl w:val="1"/>
          <w:numId w:val="5"/>
        </w:numPr>
        <w:ind w:right="85"/>
      </w:pPr>
      <w:r>
        <w:t xml:space="preserve">Экспертиза проекта </w:t>
      </w:r>
      <w:r w:rsidR="00360B75">
        <w:t>муниципальной</w:t>
      </w:r>
      <w:r>
        <w:t xml:space="preserve"> программы не предполагает оценку социального, экономического, экологического, бюджетного эффекта от реализации </w:t>
      </w:r>
      <w:r w:rsidR="00360B75">
        <w:t>муниципальной</w:t>
      </w:r>
      <w:r>
        <w:t xml:space="preserve"> программы, оценку рисков, связанных с программно-целевым методом решения проблемы, а также определение масштаба и динамики негативных и (или) позитивных воздействий при принятии или непринятии </w:t>
      </w:r>
      <w:r w:rsidR="00360B75">
        <w:t>муниципальн</w:t>
      </w:r>
      <w:r>
        <w:t xml:space="preserve">ой программы (отдельных ее подпрограмм). </w:t>
      </w:r>
    </w:p>
    <w:p w:rsidR="00D815D5" w:rsidRDefault="00A373B8">
      <w:pPr>
        <w:numPr>
          <w:ilvl w:val="1"/>
          <w:numId w:val="5"/>
        </w:numPr>
        <w:ind w:right="85"/>
      </w:pPr>
      <w:r>
        <w:t xml:space="preserve">Экспертиза проекта </w:t>
      </w:r>
      <w:r w:rsidR="00360B75">
        <w:t>муниципально</w:t>
      </w:r>
      <w:r>
        <w:t xml:space="preserve">й программы проводится на основе документов и материалов, представленных </w:t>
      </w:r>
      <w:r w:rsidR="00360B75">
        <w:t>муниципальным</w:t>
      </w:r>
      <w:r>
        <w:t xml:space="preserve"> заказчиком  </w:t>
      </w:r>
      <w:r w:rsidR="00360B75">
        <w:t>муниципальн</w:t>
      </w:r>
      <w:r>
        <w:t xml:space="preserve">ой программы в </w:t>
      </w:r>
      <w:r w:rsidR="00360B75">
        <w:t>Контрольно-с</w:t>
      </w:r>
      <w:r>
        <w:t xml:space="preserve">четную плату для проведения экспертизы. </w:t>
      </w:r>
    </w:p>
    <w:p w:rsidR="00D815D5" w:rsidRDefault="00A373B8">
      <w:pPr>
        <w:ind w:left="86" w:right="85"/>
      </w:pPr>
      <w:r>
        <w:t xml:space="preserve">В ходе осуществления экспертизы проекта </w:t>
      </w:r>
      <w:r w:rsidR="00360B75">
        <w:t>муниципаль</w:t>
      </w:r>
      <w:r>
        <w:t xml:space="preserve">ной программы могут использоваться данные, полученные в ходе ранее проведенных </w:t>
      </w:r>
      <w:r w:rsidR="00360B75">
        <w:t>Контрольно-с</w:t>
      </w:r>
      <w:r>
        <w:t xml:space="preserve">четной палатой контрольных и экспертно-аналитических мероприятий в соответствующей сфере деятельности, а также данные, представленные в открытых источниках информации. </w:t>
      </w:r>
    </w:p>
    <w:p w:rsidR="00D815D5" w:rsidRDefault="00D815D5">
      <w:pPr>
        <w:spacing w:after="159" w:line="259" w:lineRule="auto"/>
        <w:ind w:left="780" w:firstLine="0"/>
        <w:jc w:val="left"/>
      </w:pPr>
    </w:p>
    <w:p w:rsidR="00D815D5" w:rsidRDefault="00A373B8">
      <w:pPr>
        <w:pStyle w:val="1"/>
        <w:ind w:left="310" w:right="22" w:hanging="281"/>
      </w:pPr>
      <w:r>
        <w:t xml:space="preserve">Вопросы экспертизы проекта </w:t>
      </w:r>
      <w:r w:rsidR="00EF73CB">
        <w:t>муниципаль</w:t>
      </w:r>
      <w:r>
        <w:t xml:space="preserve">ной программы </w:t>
      </w:r>
    </w:p>
    <w:p w:rsidR="00D815D5" w:rsidRDefault="00D815D5">
      <w:pPr>
        <w:spacing w:after="152" w:line="259" w:lineRule="auto"/>
        <w:ind w:left="809" w:firstLine="0"/>
        <w:jc w:val="left"/>
      </w:pPr>
    </w:p>
    <w:p w:rsidR="00D815D5" w:rsidRDefault="00A373B8">
      <w:pPr>
        <w:ind w:left="86" w:right="85"/>
      </w:pPr>
      <w:r>
        <w:lastRenderedPageBreak/>
        <w:t xml:space="preserve">3.1. В соответствии с положениями Стандарта внешнего </w:t>
      </w:r>
      <w:r w:rsidR="00360B75">
        <w:t>муниципального</w:t>
      </w:r>
      <w:r>
        <w:t xml:space="preserve"> финансового контроля «Проведение экспертно-аналитического мероприятия» вопросы экспертизы проекта </w:t>
      </w:r>
      <w:r w:rsidR="00360B75">
        <w:t>муниципально</w:t>
      </w:r>
      <w:r>
        <w:t xml:space="preserve">й программы отражаются в Программе, утверждаемой руководителем мероприятия. </w:t>
      </w:r>
    </w:p>
    <w:p w:rsidR="00D815D5" w:rsidRDefault="00A373B8">
      <w:pPr>
        <w:ind w:left="86" w:right="85"/>
      </w:pPr>
      <w:r>
        <w:t xml:space="preserve">3.2. Типовой перечень вопросов, рассматриваемых в ходе проведения экспертизы проекта </w:t>
      </w:r>
      <w:r w:rsidR="00360B75">
        <w:t>муниципально</w:t>
      </w:r>
      <w:r>
        <w:t xml:space="preserve">й программы, представлен в Приложении к настоящему Стандарту. </w:t>
      </w:r>
    </w:p>
    <w:p w:rsidR="00D815D5" w:rsidRDefault="00D815D5">
      <w:pPr>
        <w:spacing w:after="163" w:line="259" w:lineRule="auto"/>
        <w:ind w:left="809" w:firstLine="0"/>
        <w:jc w:val="left"/>
      </w:pPr>
    </w:p>
    <w:p w:rsidR="00D815D5" w:rsidRDefault="00A373B8">
      <w:pPr>
        <w:numPr>
          <w:ilvl w:val="0"/>
          <w:numId w:val="6"/>
        </w:numPr>
        <w:spacing w:after="93" w:line="259" w:lineRule="auto"/>
        <w:ind w:left="387" w:hanging="281"/>
        <w:jc w:val="left"/>
      </w:pPr>
      <w:r>
        <w:rPr>
          <w:b/>
        </w:rPr>
        <w:t xml:space="preserve">Оформление результатов экспертизы проекта </w:t>
      </w:r>
      <w:r w:rsidR="007741DB">
        <w:rPr>
          <w:b/>
        </w:rPr>
        <w:t>муниципаль</w:t>
      </w:r>
      <w:r>
        <w:rPr>
          <w:b/>
        </w:rPr>
        <w:t xml:space="preserve">ной программы </w:t>
      </w:r>
    </w:p>
    <w:p w:rsidR="00D815D5" w:rsidRDefault="00D815D5">
      <w:pPr>
        <w:spacing w:after="152" w:line="259" w:lineRule="auto"/>
        <w:ind w:left="101" w:firstLine="0"/>
        <w:jc w:val="left"/>
      </w:pPr>
    </w:p>
    <w:p w:rsidR="00D815D5" w:rsidRDefault="00A373B8" w:rsidP="00246878">
      <w:pPr>
        <w:numPr>
          <w:ilvl w:val="1"/>
          <w:numId w:val="6"/>
        </w:numPr>
        <w:ind w:left="142" w:right="85" w:firstLine="567"/>
      </w:pPr>
      <w:proofErr w:type="gramStart"/>
      <w:r>
        <w:t xml:space="preserve">По итогам экспертизы проекта </w:t>
      </w:r>
      <w:r w:rsidR="007741DB">
        <w:t>муниципальной</w:t>
      </w:r>
      <w:r>
        <w:t xml:space="preserve"> программы в установленном Стандартом внешнего </w:t>
      </w:r>
      <w:r w:rsidR="007741DB">
        <w:t>муниципального</w:t>
      </w:r>
      <w:r>
        <w:t xml:space="preserve"> финансового контроля «Проведение экспертно-аналитического мероприятия» порядке подготавливается информация о его результатах в виде заключения (далее – заключение). </w:t>
      </w:r>
      <w:proofErr w:type="gramEnd"/>
    </w:p>
    <w:p w:rsidR="00D815D5" w:rsidRDefault="00A373B8" w:rsidP="00246878">
      <w:pPr>
        <w:numPr>
          <w:ilvl w:val="1"/>
          <w:numId w:val="6"/>
        </w:numPr>
        <w:ind w:left="142" w:right="85" w:firstLine="567"/>
      </w:pPr>
      <w:r>
        <w:t xml:space="preserve">Заключение должно соответствовать требованиям, уставленным Стандартом внешнего </w:t>
      </w:r>
      <w:r w:rsidR="007741DB">
        <w:t>муниципального</w:t>
      </w:r>
      <w:r>
        <w:t xml:space="preserve"> финансового контроля «Проведение экспертно-аналитического мероприятия». </w:t>
      </w:r>
    </w:p>
    <w:p w:rsidR="00D815D5" w:rsidRDefault="00A373B8" w:rsidP="00246878">
      <w:pPr>
        <w:numPr>
          <w:ilvl w:val="1"/>
          <w:numId w:val="6"/>
        </w:numPr>
        <w:ind w:left="142" w:right="85" w:firstLine="567"/>
      </w:pPr>
      <w:r>
        <w:t xml:space="preserve">В соответствии с нормами </w:t>
      </w:r>
      <w:r w:rsidR="007741DB">
        <w:t>Положения о Контрольно-счетной палате Зеленодольского муниципального района от 29.10.2019г. № 436</w:t>
      </w:r>
      <w:r>
        <w:t xml:space="preserve"> заключение не может содержать политических оценок решений, принимаемых органами законодательной и исполнительной власти </w:t>
      </w:r>
      <w:r w:rsidR="007741DB">
        <w:t>Зеленодольского муниципального района</w:t>
      </w:r>
      <w:r>
        <w:t xml:space="preserve"> по вопросам ее ведения. </w:t>
      </w:r>
    </w:p>
    <w:p w:rsidR="00D815D5" w:rsidRDefault="00A373B8" w:rsidP="00246878">
      <w:pPr>
        <w:numPr>
          <w:ilvl w:val="1"/>
          <w:numId w:val="6"/>
        </w:numPr>
        <w:ind w:left="142" w:right="85" w:firstLine="567"/>
      </w:pPr>
      <w:r>
        <w:t xml:space="preserve">При выявлении в ходе </w:t>
      </w:r>
      <w:proofErr w:type="gramStart"/>
      <w:r>
        <w:t xml:space="preserve">проведения экспертизы проекта </w:t>
      </w:r>
      <w:r w:rsidR="007741DB">
        <w:t>муниципальной</w:t>
      </w:r>
      <w:r>
        <w:t xml:space="preserve"> программы нарушений положений законодательства Российской</w:t>
      </w:r>
      <w:proofErr w:type="gramEnd"/>
      <w:r>
        <w:t xml:space="preserve"> Федерации</w:t>
      </w:r>
      <w:r w:rsidR="007741DB">
        <w:t>,</w:t>
      </w:r>
      <w:r>
        <w:t xml:space="preserve"> Республики Татарстан </w:t>
      </w:r>
      <w:r w:rsidR="007741DB">
        <w:t xml:space="preserve">и (или) муниципальных нормативно-правовых актов </w:t>
      </w:r>
      <w:r>
        <w:t xml:space="preserve">они должны быть отражены в заключении (с указанием существа нарушения и ссылкой на нормативный правовой акт). </w:t>
      </w:r>
    </w:p>
    <w:p w:rsidR="00D815D5" w:rsidRDefault="00A373B8" w:rsidP="00246878">
      <w:pPr>
        <w:numPr>
          <w:ilvl w:val="1"/>
          <w:numId w:val="6"/>
        </w:numPr>
        <w:ind w:left="142" w:right="85" w:firstLine="567"/>
      </w:pPr>
      <w:r>
        <w:t xml:space="preserve">При наличии в проекте </w:t>
      </w:r>
      <w:r w:rsidR="007741DB">
        <w:t>муниципаль</w:t>
      </w:r>
      <w:r>
        <w:t xml:space="preserve">ной программы недостатков они должны быть отражены в заключении. </w:t>
      </w:r>
    </w:p>
    <w:p w:rsidR="00D815D5" w:rsidRDefault="00A373B8">
      <w:pPr>
        <w:numPr>
          <w:ilvl w:val="1"/>
          <w:numId w:val="6"/>
        </w:numPr>
        <w:ind w:right="85"/>
      </w:pPr>
      <w:r>
        <w:lastRenderedPageBreak/>
        <w:t xml:space="preserve">Заключение в установленном </w:t>
      </w:r>
      <w:proofErr w:type="gramStart"/>
      <w:r>
        <w:t>порядке</w:t>
      </w:r>
      <w:proofErr w:type="gramEnd"/>
      <w:r>
        <w:t xml:space="preserve"> направляется Председателю </w:t>
      </w:r>
      <w:r w:rsidR="007741DB">
        <w:t>Контрольно-с</w:t>
      </w:r>
      <w:r>
        <w:t xml:space="preserve">четной палаты, а также на рассмотрение Коллегии </w:t>
      </w:r>
      <w:r w:rsidR="007741DB">
        <w:t>Контрольно-с</w:t>
      </w:r>
      <w:r>
        <w:t xml:space="preserve">четной палаты.  </w:t>
      </w:r>
    </w:p>
    <w:p w:rsidR="00D815D5" w:rsidRDefault="00A373B8">
      <w:pPr>
        <w:numPr>
          <w:ilvl w:val="1"/>
          <w:numId w:val="6"/>
        </w:numPr>
        <w:ind w:right="85"/>
      </w:pPr>
      <w:r>
        <w:t xml:space="preserve">Заключение представляется в </w:t>
      </w:r>
      <w:r w:rsidR="007741DB">
        <w:t>Исполнительный комитет Зеленодольского муниципального района</w:t>
      </w:r>
      <w:r>
        <w:t xml:space="preserve">. </w:t>
      </w:r>
    </w:p>
    <w:p w:rsidR="00D815D5" w:rsidRDefault="00D815D5">
      <w:pPr>
        <w:spacing w:after="100" w:line="259" w:lineRule="auto"/>
        <w:ind w:left="809" w:firstLine="0"/>
        <w:jc w:val="left"/>
      </w:pPr>
    </w:p>
    <w:p w:rsidR="00D815D5" w:rsidRDefault="00D815D5">
      <w:pPr>
        <w:spacing w:after="0" w:line="259" w:lineRule="auto"/>
        <w:ind w:left="809" w:firstLine="0"/>
        <w:jc w:val="left"/>
      </w:pPr>
    </w:p>
    <w:p w:rsidR="00D815D5" w:rsidRDefault="00D815D5">
      <w:pPr>
        <w:sectPr w:rsidR="00D815D5">
          <w:headerReference w:type="even" r:id="rId8"/>
          <w:headerReference w:type="default" r:id="rId9"/>
          <w:headerReference w:type="first" r:id="rId10"/>
          <w:pgSz w:w="11906" w:h="16838"/>
          <w:pgMar w:top="1192" w:right="471" w:bottom="933" w:left="1318" w:header="720" w:footer="720" w:gutter="0"/>
          <w:cols w:space="720"/>
          <w:titlePg/>
        </w:sectPr>
      </w:pPr>
    </w:p>
    <w:p w:rsidR="00D815D5" w:rsidRDefault="00A373B8">
      <w:pPr>
        <w:spacing w:after="100" w:line="259" w:lineRule="auto"/>
        <w:ind w:left="10" w:right="-12" w:hanging="10"/>
        <w:jc w:val="right"/>
      </w:pPr>
      <w:r>
        <w:lastRenderedPageBreak/>
        <w:t xml:space="preserve">Приложение </w:t>
      </w:r>
    </w:p>
    <w:p w:rsidR="00D815D5" w:rsidRDefault="00D815D5">
      <w:pPr>
        <w:spacing w:after="105" w:line="259" w:lineRule="auto"/>
        <w:ind w:left="708" w:firstLine="0"/>
        <w:jc w:val="left"/>
      </w:pPr>
    </w:p>
    <w:p w:rsidR="00D815D5" w:rsidRDefault="00A373B8">
      <w:pPr>
        <w:pStyle w:val="1"/>
        <w:numPr>
          <w:ilvl w:val="0"/>
          <w:numId w:val="0"/>
        </w:numPr>
        <w:spacing w:after="0" w:line="377" w:lineRule="auto"/>
        <w:ind w:left="39"/>
      </w:pPr>
      <w:r>
        <w:t xml:space="preserve">Типовой перечень вопросов, рассматриваемых в ходе проведения экспертизы проекта </w:t>
      </w:r>
      <w:r w:rsidR="007741DB">
        <w:t>муниципальной</w:t>
      </w:r>
      <w:r>
        <w:t xml:space="preserve"> программы</w:t>
      </w:r>
    </w:p>
    <w:p w:rsidR="00D815D5" w:rsidRDefault="00D815D5">
      <w:pPr>
        <w:spacing w:after="154" w:line="259" w:lineRule="auto"/>
        <w:ind w:left="708" w:firstLine="0"/>
        <w:jc w:val="left"/>
      </w:pPr>
    </w:p>
    <w:p w:rsidR="00D815D5" w:rsidRDefault="00A373B8">
      <w:pPr>
        <w:numPr>
          <w:ilvl w:val="0"/>
          <w:numId w:val="7"/>
        </w:numPr>
        <w:ind w:right="2"/>
      </w:pPr>
      <w:r>
        <w:t xml:space="preserve">Анализ  целей и задач проекта </w:t>
      </w:r>
      <w:r w:rsidR="00F145F5">
        <w:t>муниципальной</w:t>
      </w:r>
      <w:r>
        <w:t xml:space="preserve"> программы на предмет их соответствия: </w:t>
      </w:r>
    </w:p>
    <w:p w:rsidR="00D815D5" w:rsidRDefault="00A373B8">
      <w:pPr>
        <w:numPr>
          <w:ilvl w:val="0"/>
          <w:numId w:val="8"/>
        </w:numPr>
        <w:ind w:right="3"/>
      </w:pPr>
      <w:r>
        <w:t xml:space="preserve">приоритетам, озвученным в </w:t>
      </w:r>
      <w:proofErr w:type="gramStart"/>
      <w:r>
        <w:t>Послании</w:t>
      </w:r>
      <w:proofErr w:type="gramEnd"/>
      <w:r>
        <w:t xml:space="preserve"> Президента Российской Федерации Федеральному Собранию Российской Федерации, Послании Президента Республики Татарстан Государственному Совету Республики Татарстан; </w:t>
      </w:r>
    </w:p>
    <w:p w:rsidR="00D815D5" w:rsidRDefault="00A373B8">
      <w:pPr>
        <w:numPr>
          <w:ilvl w:val="0"/>
          <w:numId w:val="8"/>
        </w:numPr>
        <w:ind w:right="3"/>
      </w:pPr>
      <w:r>
        <w:t xml:space="preserve">основным направлениям государственной политики, определенным в стратегиях (концепциях, программах) </w:t>
      </w:r>
      <w:proofErr w:type="gramStart"/>
      <w:r>
        <w:t>долгосрочного</w:t>
      </w:r>
      <w:proofErr w:type="gramEnd"/>
      <w:r>
        <w:t xml:space="preserve"> социально-экономического развития Российской Федерации</w:t>
      </w:r>
      <w:r w:rsidR="00F145F5">
        <w:t>,</w:t>
      </w:r>
      <w:r>
        <w:t xml:space="preserve"> Республики Татарстан, </w:t>
      </w:r>
      <w:r w:rsidR="00F145F5">
        <w:t xml:space="preserve">Зеленодольского муниципального района и (или) </w:t>
      </w:r>
      <w:r>
        <w:t xml:space="preserve">инвестиционном меморандуме Республики Татарстан; </w:t>
      </w:r>
    </w:p>
    <w:p w:rsidR="00D815D5" w:rsidRDefault="00A373B8">
      <w:pPr>
        <w:numPr>
          <w:ilvl w:val="0"/>
          <w:numId w:val="8"/>
        </w:numPr>
        <w:ind w:right="3"/>
      </w:pPr>
      <w:r>
        <w:t xml:space="preserve">целям и задачам аналогичной государственной программы Российской Федерации (при ее наличии). </w:t>
      </w:r>
    </w:p>
    <w:p w:rsidR="00D815D5" w:rsidRDefault="00A373B8">
      <w:pPr>
        <w:numPr>
          <w:ilvl w:val="0"/>
          <w:numId w:val="9"/>
        </w:numPr>
        <w:ind w:right="2"/>
      </w:pPr>
      <w:r>
        <w:t xml:space="preserve">Анализ  соответствия проекта </w:t>
      </w:r>
      <w:r w:rsidR="00F145F5">
        <w:t xml:space="preserve">муниципальной </w:t>
      </w:r>
      <w:r>
        <w:t xml:space="preserve">программы требованиям, установленным статьей 179 Бюджетного кодекса Российской Федерации. </w:t>
      </w:r>
    </w:p>
    <w:p w:rsidR="00D815D5" w:rsidRPr="008265E5" w:rsidRDefault="00A373B8">
      <w:pPr>
        <w:numPr>
          <w:ilvl w:val="0"/>
          <w:numId w:val="9"/>
        </w:numPr>
        <w:ind w:right="2"/>
      </w:pPr>
      <w:r w:rsidRPr="008265E5">
        <w:t xml:space="preserve">Анализ проекта </w:t>
      </w:r>
      <w:r w:rsidR="00F145F5" w:rsidRPr="008265E5">
        <w:t>муниципальной</w:t>
      </w:r>
      <w:r w:rsidRPr="008265E5">
        <w:t xml:space="preserve"> программы на предмет его соответствия требованиям, установленным Порядком разработки, реализации и оценки эффективности </w:t>
      </w:r>
      <w:r w:rsidR="00F145F5" w:rsidRPr="008265E5">
        <w:t>муниципаль</w:t>
      </w:r>
      <w:r w:rsidRPr="008265E5">
        <w:t xml:space="preserve">ных программ (по составу и содержанию).  </w:t>
      </w:r>
    </w:p>
    <w:sectPr w:rsidR="00D815D5" w:rsidRPr="008265E5" w:rsidSect="00FA5423">
      <w:headerReference w:type="even" r:id="rId11"/>
      <w:headerReference w:type="default" r:id="rId12"/>
      <w:headerReference w:type="first" r:id="rId13"/>
      <w:pgSz w:w="11906" w:h="16838"/>
      <w:pgMar w:top="1440" w:right="561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E1B" w:rsidRDefault="00C36E1B">
      <w:pPr>
        <w:spacing w:after="0" w:line="240" w:lineRule="auto"/>
      </w:pPr>
      <w:r>
        <w:separator/>
      </w:r>
    </w:p>
  </w:endnote>
  <w:endnote w:type="continuationSeparator" w:id="0">
    <w:p w:rsidR="00C36E1B" w:rsidRDefault="00C36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E1B" w:rsidRDefault="00C36E1B">
      <w:pPr>
        <w:spacing w:after="0" w:line="240" w:lineRule="auto"/>
      </w:pPr>
      <w:r>
        <w:separator/>
      </w:r>
    </w:p>
  </w:footnote>
  <w:footnote w:type="continuationSeparator" w:id="0">
    <w:p w:rsidR="00C36E1B" w:rsidRDefault="00C36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5D5" w:rsidRDefault="00FA5423">
    <w:pPr>
      <w:spacing w:after="0" w:line="259" w:lineRule="auto"/>
      <w:ind w:left="0" w:right="93" w:firstLine="0"/>
      <w:jc w:val="right"/>
    </w:pPr>
    <w:r>
      <w:fldChar w:fldCharType="begin"/>
    </w:r>
    <w:r w:rsidR="00A373B8">
      <w:instrText xml:space="preserve"> PAGE   \* MERGEFORMAT </w:instrText>
    </w:r>
    <w:r>
      <w:fldChar w:fldCharType="separate"/>
    </w:r>
    <w:r w:rsidR="00A373B8">
      <w:rPr>
        <w:sz w:val="24"/>
      </w:rPr>
      <w:t>2</w:t>
    </w:r>
    <w:r>
      <w:rPr>
        <w:sz w:val="24"/>
      </w:rPr>
      <w:fldChar w:fldCharType="end"/>
    </w:r>
  </w:p>
  <w:p w:rsidR="00D815D5" w:rsidRDefault="00D815D5">
    <w:pPr>
      <w:spacing w:after="0" w:line="259" w:lineRule="auto"/>
      <w:ind w:left="101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5D5" w:rsidRDefault="00FA5423">
    <w:pPr>
      <w:spacing w:after="0" w:line="259" w:lineRule="auto"/>
      <w:ind w:left="0" w:right="93" w:firstLine="0"/>
      <w:jc w:val="right"/>
    </w:pPr>
    <w:r>
      <w:fldChar w:fldCharType="begin"/>
    </w:r>
    <w:r w:rsidR="00A373B8">
      <w:instrText xml:space="preserve"> PAGE   \* MERGEFORMAT </w:instrText>
    </w:r>
    <w:r>
      <w:fldChar w:fldCharType="separate"/>
    </w:r>
    <w:r w:rsidR="000B19F4" w:rsidRPr="000B19F4">
      <w:rPr>
        <w:noProof/>
        <w:sz w:val="24"/>
      </w:rPr>
      <w:t>3</w:t>
    </w:r>
    <w:r>
      <w:rPr>
        <w:sz w:val="24"/>
      </w:rPr>
      <w:fldChar w:fldCharType="end"/>
    </w:r>
  </w:p>
  <w:p w:rsidR="00D815D5" w:rsidRDefault="00D815D5">
    <w:pPr>
      <w:spacing w:after="0" w:line="259" w:lineRule="auto"/>
      <w:ind w:left="101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5D5" w:rsidRDefault="00D815D5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5D5" w:rsidRDefault="00D815D5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5D5" w:rsidRDefault="00D815D5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5D5" w:rsidRDefault="00D815D5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3B0B"/>
    <w:multiLevelType w:val="multilevel"/>
    <w:tmpl w:val="C3C25DC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CE768C"/>
    <w:multiLevelType w:val="hybridMultilevel"/>
    <w:tmpl w:val="7A02406A"/>
    <w:lvl w:ilvl="0" w:tplc="88103302">
      <w:start w:val="1"/>
      <w:numFmt w:val="bullet"/>
      <w:lvlText w:val="-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B2D14C">
      <w:start w:val="1"/>
      <w:numFmt w:val="bullet"/>
      <w:lvlText w:val="o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60654A">
      <w:start w:val="1"/>
      <w:numFmt w:val="bullet"/>
      <w:lvlText w:val="▪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26F758">
      <w:start w:val="1"/>
      <w:numFmt w:val="bullet"/>
      <w:lvlText w:val="•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62CE6C">
      <w:start w:val="1"/>
      <w:numFmt w:val="bullet"/>
      <w:lvlText w:val="o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F63B20">
      <w:start w:val="1"/>
      <w:numFmt w:val="bullet"/>
      <w:lvlText w:val="▪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ECC758">
      <w:start w:val="1"/>
      <w:numFmt w:val="bullet"/>
      <w:lvlText w:val="•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82E878">
      <w:start w:val="1"/>
      <w:numFmt w:val="bullet"/>
      <w:lvlText w:val="o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80E87E">
      <w:start w:val="1"/>
      <w:numFmt w:val="bullet"/>
      <w:lvlText w:val="▪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33323A5"/>
    <w:multiLevelType w:val="hybridMultilevel"/>
    <w:tmpl w:val="67B621A0"/>
    <w:lvl w:ilvl="0" w:tplc="71A2D932">
      <w:start w:val="1"/>
      <w:numFmt w:val="bullet"/>
      <w:lvlText w:val="-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BC18A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9677B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DE7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34129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60B9E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DEE7C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8A46E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14903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7E714A8"/>
    <w:multiLevelType w:val="hybridMultilevel"/>
    <w:tmpl w:val="584AA9B2"/>
    <w:lvl w:ilvl="0" w:tplc="9E46785C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CCE216">
      <w:start w:val="1"/>
      <w:numFmt w:val="lowerLetter"/>
      <w:lvlText w:val="%2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02AF98">
      <w:start w:val="1"/>
      <w:numFmt w:val="lowerRoman"/>
      <w:lvlText w:val="%3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1456B8">
      <w:start w:val="1"/>
      <w:numFmt w:val="decimal"/>
      <w:lvlText w:val="%4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562E36">
      <w:start w:val="1"/>
      <w:numFmt w:val="lowerLetter"/>
      <w:lvlText w:val="%5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E21D50">
      <w:start w:val="1"/>
      <w:numFmt w:val="lowerRoman"/>
      <w:lvlText w:val="%6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62EA0A">
      <w:start w:val="1"/>
      <w:numFmt w:val="decimal"/>
      <w:lvlText w:val="%7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E07D04">
      <w:start w:val="1"/>
      <w:numFmt w:val="lowerLetter"/>
      <w:lvlText w:val="%8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5A0532">
      <w:start w:val="1"/>
      <w:numFmt w:val="lowerRoman"/>
      <w:lvlText w:val="%9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AA82F0C"/>
    <w:multiLevelType w:val="multilevel"/>
    <w:tmpl w:val="2E003D1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2440E27"/>
    <w:multiLevelType w:val="hybridMultilevel"/>
    <w:tmpl w:val="3D6A6760"/>
    <w:lvl w:ilvl="0" w:tplc="68B431D6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D6D1F2">
      <w:start w:val="1"/>
      <w:numFmt w:val="lowerLetter"/>
      <w:lvlText w:val="%2"/>
      <w:lvlJc w:val="left"/>
      <w:pPr>
        <w:ind w:left="2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DEDE50">
      <w:start w:val="1"/>
      <w:numFmt w:val="lowerRoman"/>
      <w:lvlText w:val="%3"/>
      <w:lvlJc w:val="left"/>
      <w:pPr>
        <w:ind w:left="3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D67D2C">
      <w:start w:val="1"/>
      <w:numFmt w:val="decimal"/>
      <w:lvlText w:val="%4"/>
      <w:lvlJc w:val="left"/>
      <w:pPr>
        <w:ind w:left="4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0C6C18">
      <w:start w:val="1"/>
      <w:numFmt w:val="lowerLetter"/>
      <w:lvlText w:val="%5"/>
      <w:lvlJc w:val="left"/>
      <w:pPr>
        <w:ind w:left="5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AEFB9E">
      <w:start w:val="1"/>
      <w:numFmt w:val="lowerRoman"/>
      <w:lvlText w:val="%6"/>
      <w:lvlJc w:val="left"/>
      <w:pPr>
        <w:ind w:left="5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4E88F2">
      <w:start w:val="1"/>
      <w:numFmt w:val="decimal"/>
      <w:lvlText w:val="%7"/>
      <w:lvlJc w:val="left"/>
      <w:pPr>
        <w:ind w:left="6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2AB54C">
      <w:start w:val="1"/>
      <w:numFmt w:val="lowerLetter"/>
      <w:lvlText w:val="%8"/>
      <w:lvlJc w:val="left"/>
      <w:pPr>
        <w:ind w:left="7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38BC9A">
      <w:start w:val="1"/>
      <w:numFmt w:val="lowerRoman"/>
      <w:lvlText w:val="%9"/>
      <w:lvlJc w:val="left"/>
      <w:pPr>
        <w:ind w:left="7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4363DB0"/>
    <w:multiLevelType w:val="hybridMultilevel"/>
    <w:tmpl w:val="B61A8572"/>
    <w:lvl w:ilvl="0" w:tplc="FE5A91A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44A706">
      <w:start w:val="1"/>
      <w:numFmt w:val="bullet"/>
      <w:lvlText w:val="o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1297A6">
      <w:start w:val="1"/>
      <w:numFmt w:val="bullet"/>
      <w:lvlText w:val="▪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5C5636">
      <w:start w:val="1"/>
      <w:numFmt w:val="bullet"/>
      <w:lvlText w:val="•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E690E4">
      <w:start w:val="1"/>
      <w:numFmt w:val="bullet"/>
      <w:lvlText w:val="o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40C4B0">
      <w:start w:val="1"/>
      <w:numFmt w:val="bullet"/>
      <w:lvlText w:val="▪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7C6D46">
      <w:start w:val="1"/>
      <w:numFmt w:val="bullet"/>
      <w:lvlText w:val="•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982A2A">
      <w:start w:val="1"/>
      <w:numFmt w:val="bullet"/>
      <w:lvlText w:val="o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046574">
      <w:start w:val="1"/>
      <w:numFmt w:val="bullet"/>
      <w:lvlText w:val="▪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EE91F98"/>
    <w:multiLevelType w:val="hybridMultilevel"/>
    <w:tmpl w:val="A9828F84"/>
    <w:lvl w:ilvl="0" w:tplc="4C28211E">
      <w:start w:val="1"/>
      <w:numFmt w:val="decimal"/>
      <w:lvlText w:val="%1."/>
      <w:lvlJc w:val="left"/>
      <w:pPr>
        <w:ind w:left="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F2394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B46356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941BC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46850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140BD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28E2B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4E912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D8EE5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32234BA"/>
    <w:multiLevelType w:val="hybridMultilevel"/>
    <w:tmpl w:val="E7CE81E8"/>
    <w:lvl w:ilvl="0" w:tplc="47E47C6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721C5A">
      <w:start w:val="1"/>
      <w:numFmt w:val="lowerLetter"/>
      <w:lvlText w:val="%2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8637C0">
      <w:start w:val="1"/>
      <w:numFmt w:val="lowerRoman"/>
      <w:lvlText w:val="%3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8EF42A">
      <w:start w:val="1"/>
      <w:numFmt w:val="decimal"/>
      <w:lvlText w:val="%4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14760E">
      <w:start w:val="1"/>
      <w:numFmt w:val="lowerLetter"/>
      <w:lvlText w:val="%5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CAE0E6">
      <w:start w:val="1"/>
      <w:numFmt w:val="lowerRoman"/>
      <w:lvlText w:val="%6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04D2E6">
      <w:start w:val="1"/>
      <w:numFmt w:val="decimal"/>
      <w:lvlText w:val="%7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CA050C">
      <w:start w:val="1"/>
      <w:numFmt w:val="lowerLetter"/>
      <w:lvlText w:val="%8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2202EE">
      <w:start w:val="1"/>
      <w:numFmt w:val="lowerRoman"/>
      <w:lvlText w:val="%9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CA3549F"/>
    <w:multiLevelType w:val="multilevel"/>
    <w:tmpl w:val="3D4AB896"/>
    <w:lvl w:ilvl="0">
      <w:start w:val="4"/>
      <w:numFmt w:val="decimal"/>
      <w:lvlText w:val="%1."/>
      <w:lvlJc w:val="left"/>
      <w:pPr>
        <w:ind w:left="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9"/>
  </w:num>
  <w:num w:numId="7">
    <w:abstractNumId w:val="8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5D5"/>
    <w:rsid w:val="000A186B"/>
    <w:rsid w:val="000B19F4"/>
    <w:rsid w:val="000F1AE8"/>
    <w:rsid w:val="0017429D"/>
    <w:rsid w:val="001C6CCA"/>
    <w:rsid w:val="001F51FD"/>
    <w:rsid w:val="00246878"/>
    <w:rsid w:val="00297D93"/>
    <w:rsid w:val="00360B75"/>
    <w:rsid w:val="004248A4"/>
    <w:rsid w:val="004275C7"/>
    <w:rsid w:val="0055321F"/>
    <w:rsid w:val="005909CB"/>
    <w:rsid w:val="007741DB"/>
    <w:rsid w:val="008265E5"/>
    <w:rsid w:val="00A373B8"/>
    <w:rsid w:val="00A92736"/>
    <w:rsid w:val="00C36E1B"/>
    <w:rsid w:val="00C47B69"/>
    <w:rsid w:val="00CB4401"/>
    <w:rsid w:val="00D815D5"/>
    <w:rsid w:val="00E2264A"/>
    <w:rsid w:val="00EF73CB"/>
    <w:rsid w:val="00F145F5"/>
    <w:rsid w:val="00F4496A"/>
    <w:rsid w:val="00F917B9"/>
    <w:rsid w:val="00FA5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363" w:lineRule="auto"/>
      <w:ind w:left="4" w:firstLine="66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0"/>
      </w:numPr>
      <w:spacing w:after="95"/>
      <w:ind w:left="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E226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363" w:lineRule="auto"/>
      <w:ind w:left="4" w:firstLine="66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0"/>
      </w:numPr>
      <w:spacing w:after="95"/>
      <w:ind w:left="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E22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Кадырова</cp:lastModifiedBy>
  <cp:revision>3</cp:revision>
  <dcterms:created xsi:type="dcterms:W3CDTF">2020-02-20T11:13:00Z</dcterms:created>
  <dcterms:modified xsi:type="dcterms:W3CDTF">2020-02-20T13:30:00Z</dcterms:modified>
</cp:coreProperties>
</file>