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3F" w:rsidRPr="00E0143F" w:rsidRDefault="00E0143F" w:rsidP="00E0143F">
      <w:pPr>
        <w:ind w:right="-2"/>
        <w:jc w:val="center"/>
        <w:rPr>
          <w:b/>
          <w:sz w:val="28"/>
          <w:szCs w:val="28"/>
        </w:rPr>
      </w:pPr>
      <w:r w:rsidRPr="00E0143F">
        <w:rPr>
          <w:b/>
          <w:sz w:val="28"/>
          <w:szCs w:val="28"/>
        </w:rPr>
        <w:t>РЕСПУБЛИКА ТАТАРСТАН</w:t>
      </w:r>
    </w:p>
    <w:p w:rsidR="00E0143F" w:rsidRPr="00E0143F" w:rsidRDefault="00E0143F" w:rsidP="00E0143F">
      <w:pPr>
        <w:ind w:right="-2"/>
        <w:jc w:val="center"/>
        <w:rPr>
          <w:b/>
          <w:sz w:val="28"/>
          <w:szCs w:val="28"/>
        </w:rPr>
      </w:pPr>
      <w:r w:rsidRPr="00E0143F">
        <w:rPr>
          <w:b/>
          <w:sz w:val="28"/>
          <w:szCs w:val="28"/>
        </w:rPr>
        <w:t>ЗЕЛЕНОДОЛЬСКИЙ МУНИЦИПАЛЬНЫЙ РАЙОН</w:t>
      </w:r>
    </w:p>
    <w:p w:rsidR="00E0143F" w:rsidRPr="00E0143F" w:rsidRDefault="00E0143F" w:rsidP="00E0143F">
      <w:pPr>
        <w:ind w:right="-2"/>
        <w:jc w:val="center"/>
        <w:rPr>
          <w:b/>
          <w:sz w:val="28"/>
          <w:szCs w:val="28"/>
        </w:rPr>
      </w:pPr>
      <w:r w:rsidRPr="00E0143F">
        <w:rPr>
          <w:b/>
          <w:sz w:val="28"/>
          <w:szCs w:val="28"/>
        </w:rPr>
        <w:t>СОВЕТ РАИФСКОГО СЕЛЬСКОГО ПОСЕЛЕНИЯ</w:t>
      </w:r>
    </w:p>
    <w:p w:rsidR="00E0143F" w:rsidRPr="00E0143F" w:rsidRDefault="00E0143F" w:rsidP="00E0143F">
      <w:pPr>
        <w:ind w:right="-2"/>
        <w:jc w:val="center"/>
        <w:rPr>
          <w:b/>
          <w:sz w:val="28"/>
          <w:szCs w:val="28"/>
        </w:rPr>
      </w:pPr>
    </w:p>
    <w:p w:rsidR="00E0143F" w:rsidRPr="00E0143F" w:rsidRDefault="00E0143F" w:rsidP="00E0143F">
      <w:pPr>
        <w:ind w:right="-2"/>
        <w:jc w:val="center"/>
        <w:rPr>
          <w:b/>
          <w:sz w:val="28"/>
          <w:szCs w:val="28"/>
        </w:rPr>
      </w:pPr>
      <w:r w:rsidRPr="00E0143F">
        <w:rPr>
          <w:b/>
          <w:sz w:val="28"/>
          <w:szCs w:val="28"/>
        </w:rPr>
        <w:t>РЕШЕНИЕ</w:t>
      </w:r>
    </w:p>
    <w:p w:rsidR="00E0143F" w:rsidRPr="00E0143F" w:rsidRDefault="00E0143F" w:rsidP="00E0143F">
      <w:pPr>
        <w:ind w:right="-2"/>
        <w:jc w:val="center"/>
        <w:rPr>
          <w:b/>
          <w:sz w:val="28"/>
          <w:szCs w:val="28"/>
        </w:rPr>
      </w:pPr>
      <w:r w:rsidRPr="00E0143F">
        <w:rPr>
          <w:b/>
          <w:sz w:val="28"/>
          <w:szCs w:val="28"/>
        </w:rPr>
        <w:t>КАРАР</w:t>
      </w:r>
    </w:p>
    <w:p w:rsidR="00E0143F" w:rsidRPr="00E0143F" w:rsidRDefault="00E0143F" w:rsidP="00E0143F">
      <w:pPr>
        <w:ind w:right="-2"/>
        <w:jc w:val="center"/>
        <w:rPr>
          <w:b/>
          <w:sz w:val="28"/>
          <w:szCs w:val="28"/>
        </w:rPr>
      </w:pPr>
    </w:p>
    <w:p w:rsidR="00E0143F" w:rsidRDefault="00E0143F" w:rsidP="00E0143F">
      <w:pPr>
        <w:ind w:right="-2"/>
        <w:jc w:val="center"/>
        <w:rPr>
          <w:sz w:val="28"/>
          <w:szCs w:val="28"/>
        </w:rPr>
      </w:pPr>
    </w:p>
    <w:p w:rsidR="00E0143F" w:rsidRDefault="00931C21" w:rsidP="00E0143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43F">
        <w:rPr>
          <w:sz w:val="28"/>
          <w:szCs w:val="28"/>
        </w:rPr>
        <w:t xml:space="preserve">декабря 2020 года                                             </w:t>
      </w:r>
      <w:r>
        <w:rPr>
          <w:sz w:val="28"/>
          <w:szCs w:val="28"/>
        </w:rPr>
        <w:t xml:space="preserve">           </w:t>
      </w:r>
      <w:r w:rsidR="00E014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№ 18</w:t>
      </w:r>
    </w:p>
    <w:p w:rsidR="00E0143F" w:rsidRDefault="00E0143F" w:rsidP="007647CD">
      <w:pPr>
        <w:ind w:right="5668"/>
        <w:jc w:val="both"/>
        <w:rPr>
          <w:sz w:val="28"/>
          <w:szCs w:val="28"/>
        </w:rPr>
      </w:pPr>
    </w:p>
    <w:p w:rsidR="00E0143F" w:rsidRDefault="00E0143F" w:rsidP="007647CD">
      <w:pPr>
        <w:ind w:right="5668"/>
        <w:jc w:val="both"/>
        <w:rPr>
          <w:sz w:val="28"/>
          <w:szCs w:val="28"/>
        </w:rPr>
      </w:pPr>
    </w:p>
    <w:p w:rsidR="007647CD" w:rsidRPr="007647CD" w:rsidRDefault="007647CD" w:rsidP="007647CD">
      <w:pPr>
        <w:ind w:right="5668"/>
        <w:jc w:val="both"/>
      </w:pPr>
      <w:r w:rsidRPr="007647CD">
        <w:rPr>
          <w:sz w:val="28"/>
          <w:szCs w:val="28"/>
        </w:rPr>
        <w:t>Об утверждении порядка предоставления межбюджетных трансфертов</w:t>
      </w:r>
    </w:p>
    <w:p w:rsidR="007647CD" w:rsidRPr="007647CD" w:rsidRDefault="007647CD" w:rsidP="007647CD">
      <w:pPr>
        <w:ind w:right="-5"/>
        <w:jc w:val="both"/>
      </w:pPr>
    </w:p>
    <w:p w:rsidR="007647CD" w:rsidRPr="007647CD" w:rsidRDefault="007647CD" w:rsidP="007647CD">
      <w:pPr>
        <w:ind w:right="-5"/>
        <w:jc w:val="both"/>
      </w:pPr>
    </w:p>
    <w:p w:rsidR="007647CD" w:rsidRPr="007647CD" w:rsidRDefault="007647CD" w:rsidP="007647CD">
      <w:pPr>
        <w:ind w:right="-5" w:firstLine="709"/>
        <w:jc w:val="both"/>
        <w:rPr>
          <w:rFonts w:eastAsiaTheme="majorEastAsia"/>
          <w:bCs/>
          <w:kern w:val="32"/>
          <w:sz w:val="28"/>
          <w:szCs w:val="28"/>
        </w:rPr>
      </w:pPr>
      <w:r w:rsidRPr="007647CD">
        <w:rPr>
          <w:sz w:val="28"/>
          <w:szCs w:val="28"/>
        </w:rPr>
        <w:t xml:space="preserve">В соответствии со статьями 14 и 15 Федерального закона от 6 октября </w:t>
      </w:r>
      <w:r w:rsidRPr="007647CD">
        <w:rPr>
          <w:sz w:val="28"/>
          <w:szCs w:val="28"/>
        </w:rPr>
        <w:br/>
        <w:t>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статьями 9 и 142.5 Бюджетного кодекса Российской Федерации, Уставом муниципального образования «</w:t>
      </w:r>
      <w:r w:rsidR="00E0143F">
        <w:rPr>
          <w:sz w:val="28"/>
          <w:szCs w:val="28"/>
        </w:rPr>
        <w:t>Раифское сельское поселение</w:t>
      </w:r>
      <w:r w:rsidRPr="007647CD">
        <w:rPr>
          <w:sz w:val="28"/>
          <w:szCs w:val="28"/>
        </w:rPr>
        <w:t xml:space="preserve">» Зеленодольского муниципального района Республики Татарстан, Совет </w:t>
      </w:r>
      <w:r w:rsidR="00E0143F">
        <w:rPr>
          <w:sz w:val="28"/>
          <w:szCs w:val="28"/>
        </w:rPr>
        <w:t>Раифского сельского поселения</w:t>
      </w:r>
      <w:r w:rsidRPr="007647CD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7647CD">
        <w:rPr>
          <w:rFonts w:eastAsiaTheme="majorEastAsia"/>
          <w:bCs/>
          <w:kern w:val="32"/>
          <w:sz w:val="28"/>
          <w:szCs w:val="28"/>
        </w:rPr>
        <w:t xml:space="preserve"> решил:</w:t>
      </w:r>
    </w:p>
    <w:p w:rsidR="007647CD" w:rsidRPr="007647CD" w:rsidRDefault="007647CD" w:rsidP="007647CD">
      <w:pPr>
        <w:ind w:right="-5"/>
        <w:jc w:val="both"/>
      </w:pPr>
    </w:p>
    <w:p w:rsidR="007647CD" w:rsidRDefault="007647CD" w:rsidP="00E0143F">
      <w:pPr>
        <w:ind w:right="-5" w:firstLine="708"/>
        <w:jc w:val="both"/>
        <w:rPr>
          <w:sz w:val="28"/>
          <w:szCs w:val="28"/>
        </w:rPr>
      </w:pPr>
      <w:r w:rsidRPr="007647CD">
        <w:rPr>
          <w:sz w:val="28"/>
          <w:szCs w:val="28"/>
        </w:rPr>
        <w:t xml:space="preserve">1. Утвердить порядок предоставления </w:t>
      </w:r>
      <w:r w:rsidR="00304561">
        <w:rPr>
          <w:sz w:val="28"/>
          <w:szCs w:val="28"/>
        </w:rPr>
        <w:t xml:space="preserve">иных </w:t>
      </w:r>
      <w:r w:rsidRPr="007647CD">
        <w:rPr>
          <w:sz w:val="28"/>
          <w:szCs w:val="28"/>
        </w:rPr>
        <w:t>межбюджетных трансфертов из бюджета поселения бюджету района согласно приложению.</w:t>
      </w:r>
    </w:p>
    <w:p w:rsidR="009E5DFD" w:rsidRPr="009E5DFD" w:rsidRDefault="009E5DFD" w:rsidP="009E5DFD">
      <w:pPr>
        <w:ind w:right="-5" w:firstLine="709"/>
        <w:jc w:val="both"/>
        <w:rPr>
          <w:sz w:val="28"/>
          <w:szCs w:val="28"/>
        </w:rPr>
      </w:pPr>
      <w:r w:rsidRPr="009E5DFD">
        <w:rPr>
          <w:sz w:val="28"/>
          <w:szCs w:val="28"/>
        </w:rPr>
        <w:t xml:space="preserve">2. Признать утратившим силу решение Совета Раифского сельского поселения от 12.08.2020г. №225 «Об утверждении методики расчета межбюджетных трансфертов, об утверждении порядка предоставления межбюджетных трансфертов, об утверждении формы отчета об использовании межбюджетных трансфертов». </w:t>
      </w:r>
    </w:p>
    <w:p w:rsidR="007647CD" w:rsidRPr="007647CD" w:rsidRDefault="009E5DFD" w:rsidP="00E0143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7CD" w:rsidRPr="009E5DFD">
        <w:rPr>
          <w:sz w:val="28"/>
          <w:szCs w:val="28"/>
        </w:rPr>
        <w:t>. Разместить настоящее решение на официальном</w:t>
      </w:r>
      <w:r w:rsidR="007647CD" w:rsidRPr="007647CD">
        <w:rPr>
          <w:sz w:val="28"/>
          <w:szCs w:val="28"/>
        </w:rPr>
        <w:t xml:space="preserve"> портале правовой информации Республики Татарст</w:t>
      </w:r>
      <w:r w:rsidR="00567D62">
        <w:rPr>
          <w:sz w:val="28"/>
          <w:szCs w:val="28"/>
        </w:rPr>
        <w:t>ан (</w:t>
      </w:r>
      <w:hyperlink r:id="rId4" w:history="1">
        <w:r w:rsidR="00567D62" w:rsidRPr="0073670F">
          <w:rPr>
            <w:rStyle w:val="a8"/>
            <w:sz w:val="28"/>
            <w:szCs w:val="28"/>
          </w:rPr>
          <w:t>http://pravo.tatarstan.ru</w:t>
        </w:r>
      </w:hyperlink>
      <w:r w:rsidR="00567D62">
        <w:rPr>
          <w:sz w:val="28"/>
          <w:szCs w:val="28"/>
        </w:rPr>
        <w:t xml:space="preserve">), </w:t>
      </w:r>
      <w:r w:rsidR="007647CD" w:rsidRPr="007647CD">
        <w:rPr>
          <w:sz w:val="28"/>
          <w:szCs w:val="28"/>
        </w:rPr>
        <w:t xml:space="preserve"> информационном сайте Зеленодольского муниципального района (http://zelenodolsk.tatarstan.ru)</w:t>
      </w:r>
      <w:r w:rsidR="00567D62">
        <w:rPr>
          <w:sz w:val="28"/>
          <w:szCs w:val="28"/>
        </w:rPr>
        <w:t xml:space="preserve"> , </w:t>
      </w:r>
      <w:r w:rsidR="00567D62" w:rsidRPr="003B7BD7">
        <w:rPr>
          <w:sz w:val="28"/>
          <w:szCs w:val="28"/>
        </w:rPr>
        <w:t>а также на информационных стендах по адресам: Республика Татарстан, Зеленодольский район, с. Бело-Безводное, ул. Юбилейная, д.13; пос. Садовый, ул. Заречная, д.39; пос. Местечко Раифа, ул. Центральная, д.7</w:t>
      </w:r>
      <w:r w:rsidR="007647CD" w:rsidRPr="007647CD">
        <w:rPr>
          <w:sz w:val="28"/>
          <w:szCs w:val="28"/>
        </w:rPr>
        <w:t>.</w:t>
      </w:r>
    </w:p>
    <w:p w:rsidR="007647CD" w:rsidRDefault="009E5DFD" w:rsidP="00E0143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7CD" w:rsidRPr="007647CD">
        <w:rPr>
          <w:sz w:val="28"/>
          <w:szCs w:val="28"/>
        </w:rPr>
        <w:t>. Контроль за выполнением настоящего решения возложить на Главу муниципального образования «</w:t>
      </w:r>
      <w:r w:rsidR="00E0143F">
        <w:rPr>
          <w:sz w:val="28"/>
          <w:szCs w:val="28"/>
        </w:rPr>
        <w:t>Раифское сельское поселение</w:t>
      </w:r>
      <w:r w:rsidR="007647CD" w:rsidRPr="007647CD">
        <w:rPr>
          <w:sz w:val="28"/>
          <w:szCs w:val="28"/>
        </w:rPr>
        <w:t>» Зеленодольского муниципального района Республики Татарстан.</w:t>
      </w:r>
    </w:p>
    <w:p w:rsidR="00E0143F" w:rsidRDefault="00E0143F" w:rsidP="00E0143F">
      <w:pPr>
        <w:ind w:right="-5" w:firstLine="708"/>
        <w:jc w:val="both"/>
        <w:rPr>
          <w:sz w:val="28"/>
          <w:szCs w:val="28"/>
        </w:rPr>
      </w:pPr>
    </w:p>
    <w:p w:rsidR="00E0143F" w:rsidRDefault="003F188F" w:rsidP="00E0143F">
      <w:pPr>
        <w:ind w:right="-5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</w:t>
      </w:r>
      <w:r w:rsidR="00E0143F">
        <w:rPr>
          <w:sz w:val="28"/>
          <w:szCs w:val="28"/>
        </w:rPr>
        <w:t xml:space="preserve"> Раифского сельского поселения, </w:t>
      </w:r>
    </w:p>
    <w:p w:rsidR="00E0143F" w:rsidRPr="007647CD" w:rsidRDefault="003F188F" w:rsidP="00E0143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Председательствующая</w:t>
      </w:r>
      <w:r w:rsidR="00E0143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Э.Ф. </w:t>
      </w:r>
      <w:proofErr w:type="spellStart"/>
      <w:r>
        <w:rPr>
          <w:sz w:val="28"/>
          <w:szCs w:val="28"/>
        </w:rPr>
        <w:t>Яппарова</w:t>
      </w:r>
      <w:proofErr w:type="spellEnd"/>
    </w:p>
    <w:p w:rsidR="007647CD" w:rsidRPr="007647CD" w:rsidRDefault="007647CD" w:rsidP="007647CD">
      <w:pPr>
        <w:ind w:right="-5"/>
        <w:jc w:val="both"/>
        <w:rPr>
          <w:sz w:val="28"/>
          <w:szCs w:val="28"/>
        </w:rPr>
      </w:pPr>
    </w:p>
    <w:p w:rsidR="0027226D" w:rsidRDefault="0027226D" w:rsidP="00F4713D">
      <w:pPr>
        <w:ind w:left="5670"/>
      </w:pPr>
    </w:p>
    <w:p w:rsidR="007647CD" w:rsidRPr="007647CD" w:rsidRDefault="007647CD" w:rsidP="00F4713D">
      <w:pPr>
        <w:ind w:left="5670"/>
        <w:rPr>
          <w:b/>
        </w:rPr>
      </w:pPr>
      <w:r w:rsidRPr="007647CD">
        <w:lastRenderedPageBreak/>
        <w:t>Приложение</w:t>
      </w:r>
    </w:p>
    <w:p w:rsidR="007647CD" w:rsidRPr="007647CD" w:rsidRDefault="007647CD" w:rsidP="00F4713D">
      <w:pPr>
        <w:ind w:left="5670"/>
      </w:pPr>
      <w:r w:rsidRPr="007647CD">
        <w:t>к решению Совета муниципального образования «</w:t>
      </w:r>
      <w:r w:rsidR="00E0143F">
        <w:t>Раифское сельское поселение</w:t>
      </w:r>
      <w:r w:rsidRPr="007647CD">
        <w:t>» Зеленодольского муниципального района Республики Татарстан</w:t>
      </w:r>
      <w:r w:rsidR="00F4713D">
        <w:t xml:space="preserve"> </w:t>
      </w:r>
      <w:r w:rsidR="00931C21">
        <w:t xml:space="preserve">от 18 </w:t>
      </w:r>
      <w:r w:rsidR="00E0143F">
        <w:t xml:space="preserve">декабря 2020 </w:t>
      </w:r>
      <w:r w:rsidR="00931C21">
        <w:t>года №18</w:t>
      </w:r>
    </w:p>
    <w:p w:rsidR="007647CD" w:rsidRPr="007647CD" w:rsidRDefault="007647CD" w:rsidP="007647CD">
      <w:pPr>
        <w:jc w:val="both"/>
      </w:pPr>
    </w:p>
    <w:p w:rsidR="007647CD" w:rsidRDefault="007647CD" w:rsidP="007647CD">
      <w:pPr>
        <w:pStyle w:val="a4"/>
        <w:spacing w:before="0" w:beforeAutospacing="0" w:after="200"/>
        <w:jc w:val="center"/>
        <w:rPr>
          <w:sz w:val="28"/>
          <w:szCs w:val="28"/>
        </w:rPr>
      </w:pPr>
      <w:r w:rsidRPr="007647CD">
        <w:rPr>
          <w:b/>
          <w:bCs/>
          <w:color w:val="000000"/>
          <w:sz w:val="28"/>
          <w:szCs w:val="28"/>
          <w:shd w:val="clear" w:color="auto" w:fill="FFFFFF"/>
        </w:rPr>
        <w:t>Порядок</w:t>
      </w:r>
      <w:r w:rsidRPr="007647CD">
        <w:rPr>
          <w:color w:val="000000"/>
          <w:sz w:val="28"/>
          <w:szCs w:val="28"/>
          <w:shd w:val="clear" w:color="auto" w:fill="FFFFFF"/>
        </w:rPr>
        <w:t xml:space="preserve"> </w:t>
      </w:r>
      <w:r w:rsidRPr="007647CD">
        <w:rPr>
          <w:b/>
          <w:bCs/>
          <w:color w:val="000000"/>
          <w:sz w:val="28"/>
          <w:szCs w:val="28"/>
          <w:shd w:val="clear" w:color="auto" w:fill="FFFFFF"/>
        </w:rPr>
        <w:t xml:space="preserve">предоставления </w:t>
      </w:r>
      <w:r w:rsidR="00304561">
        <w:rPr>
          <w:b/>
          <w:bCs/>
          <w:color w:val="000000"/>
          <w:sz w:val="28"/>
          <w:szCs w:val="28"/>
          <w:shd w:val="clear" w:color="auto" w:fill="FFFFFF"/>
        </w:rPr>
        <w:t xml:space="preserve">иных </w:t>
      </w:r>
      <w:r w:rsidRPr="007647CD">
        <w:rPr>
          <w:b/>
          <w:bCs/>
          <w:color w:val="000000"/>
          <w:sz w:val="28"/>
          <w:szCs w:val="28"/>
          <w:shd w:val="clear" w:color="auto" w:fill="FFFFFF"/>
        </w:rPr>
        <w:t xml:space="preserve">межбюджетных трансфертов </w:t>
      </w:r>
      <w:r w:rsidRPr="007647CD">
        <w:rPr>
          <w:bCs/>
          <w:sz w:val="28"/>
          <w:szCs w:val="28"/>
        </w:rPr>
        <w:t xml:space="preserve">из </w:t>
      </w:r>
      <w:r w:rsidRPr="007647CD">
        <w:rPr>
          <w:sz w:val="28"/>
          <w:szCs w:val="28"/>
        </w:rPr>
        <w:t>бюджета муниципального об</w:t>
      </w:r>
      <w:r w:rsidR="00C76968">
        <w:rPr>
          <w:sz w:val="28"/>
          <w:szCs w:val="28"/>
        </w:rPr>
        <w:t>разования «Раифское сельское поселение</w:t>
      </w:r>
      <w:r w:rsidRPr="007647CD">
        <w:rPr>
          <w:sz w:val="28"/>
          <w:szCs w:val="28"/>
        </w:rPr>
        <w:t>» Зеленодольского муниципального района Республики Татарстан бюджету муниципального образования «Зеленодольский муниципальный район» Республики Татарстан</w:t>
      </w:r>
    </w:p>
    <w:p w:rsidR="00304561" w:rsidRPr="007647CD" w:rsidRDefault="00304561" w:rsidP="007647CD">
      <w:pPr>
        <w:pStyle w:val="a4"/>
        <w:spacing w:before="0" w:beforeAutospacing="0" w:after="200"/>
        <w:jc w:val="center"/>
        <w:rPr>
          <w:sz w:val="28"/>
          <w:szCs w:val="28"/>
        </w:rPr>
      </w:pPr>
    </w:p>
    <w:p w:rsidR="00304561" w:rsidRDefault="00304561" w:rsidP="00304561">
      <w:pPr>
        <w:spacing w:after="200"/>
        <w:ind w:firstLine="567"/>
        <w:jc w:val="both"/>
        <w:rPr>
          <w:rFonts w:eastAsiaTheme="majorEastAsia"/>
          <w:bCs/>
          <w:kern w:val="32"/>
          <w:sz w:val="28"/>
          <w:szCs w:val="28"/>
        </w:rPr>
      </w:pPr>
      <w:r w:rsidRPr="007647CD">
        <w:rPr>
          <w:sz w:val="28"/>
          <w:szCs w:val="28"/>
        </w:rPr>
        <w:t xml:space="preserve">В соответствии со статьями 14 и 15 Федерального закона от 6 октября </w:t>
      </w:r>
      <w:r w:rsidRPr="007647CD">
        <w:rPr>
          <w:sz w:val="28"/>
          <w:szCs w:val="28"/>
        </w:rPr>
        <w:br/>
        <w:t>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статьями 9 и 142.5 Бюджетного кодекса Российской Федерации, Уставом муниципального об</w:t>
      </w:r>
      <w:r w:rsidR="00C76968">
        <w:rPr>
          <w:sz w:val="28"/>
          <w:szCs w:val="28"/>
        </w:rPr>
        <w:t>разования «Раифское сельское поселение</w:t>
      </w:r>
      <w:r w:rsidRPr="007647CD">
        <w:rPr>
          <w:sz w:val="28"/>
          <w:szCs w:val="28"/>
        </w:rPr>
        <w:t>» Зеленодольского муниципального района Республики Татарстан</w:t>
      </w:r>
      <w:r>
        <w:rPr>
          <w:sz w:val="28"/>
          <w:szCs w:val="28"/>
        </w:rPr>
        <w:t xml:space="preserve"> устанавливается порядок предоставления иных межбюджетных трансфертов из бюджета муниципальн</w:t>
      </w:r>
      <w:r w:rsidR="00C76968">
        <w:rPr>
          <w:sz w:val="28"/>
          <w:szCs w:val="28"/>
        </w:rPr>
        <w:t>ого образования «Раифское сельское поселение</w:t>
      </w:r>
      <w:r>
        <w:rPr>
          <w:sz w:val="28"/>
          <w:szCs w:val="28"/>
        </w:rPr>
        <w:t>» Зеленодольского муниципального района Республики Татарстан бюджету муниципального образования «Зеленодольский муниципальный район» Республики Татарстан.</w:t>
      </w:r>
    </w:p>
    <w:p w:rsidR="007647CD" w:rsidRPr="007647CD" w:rsidRDefault="007647CD" w:rsidP="00C76968">
      <w:pPr>
        <w:spacing w:after="200"/>
        <w:jc w:val="center"/>
        <w:rPr>
          <w:sz w:val="28"/>
          <w:szCs w:val="28"/>
        </w:rPr>
      </w:pPr>
      <w:r w:rsidRPr="007647CD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1.1. Настоящий Порядок определяет основания и условия предоставления межбюджетных трансфертов из </w:t>
      </w:r>
      <w:r w:rsidRPr="007647CD">
        <w:rPr>
          <w:sz w:val="28"/>
          <w:szCs w:val="28"/>
        </w:rPr>
        <w:t>бюджета муниципального об</w:t>
      </w:r>
      <w:r w:rsidR="00C76968">
        <w:rPr>
          <w:sz w:val="28"/>
          <w:szCs w:val="28"/>
        </w:rPr>
        <w:t>разования «Раифское сельское поселение</w:t>
      </w:r>
      <w:r w:rsidRPr="007647CD">
        <w:rPr>
          <w:sz w:val="28"/>
          <w:szCs w:val="28"/>
        </w:rPr>
        <w:t>» Зеленодольского муниципального района Республики Татарстан (далее бюджет поселения),</w:t>
      </w:r>
      <w:r w:rsidRPr="007647CD">
        <w:rPr>
          <w:color w:val="000000"/>
          <w:sz w:val="28"/>
          <w:szCs w:val="28"/>
          <w:shd w:val="clear" w:color="auto" w:fill="FFFFFF"/>
        </w:rPr>
        <w:t xml:space="preserve"> </w:t>
      </w:r>
      <w:r w:rsidRPr="007647CD">
        <w:rPr>
          <w:sz w:val="28"/>
          <w:szCs w:val="28"/>
        </w:rPr>
        <w:t>бюджету муниципального образования «Зеленодольский муниципальный район» Республики Татарстан (далее бюджет района)</w:t>
      </w:r>
      <w:r w:rsidRPr="007647CD">
        <w:rPr>
          <w:color w:val="000000"/>
          <w:sz w:val="28"/>
          <w:szCs w:val="28"/>
          <w:shd w:val="clear" w:color="auto" w:fill="FFFFFF"/>
        </w:rPr>
        <w:t>, а также осуществление контроля над расходованием данных средств.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1.2. Межбюджетные трансферты </w:t>
      </w:r>
      <w:r w:rsidR="003B327E">
        <w:rPr>
          <w:color w:val="000000"/>
          <w:sz w:val="28"/>
          <w:szCs w:val="28"/>
          <w:shd w:val="clear" w:color="auto" w:fill="FFFFFF"/>
        </w:rPr>
        <w:t xml:space="preserve">передаются </w:t>
      </w:r>
      <w:r w:rsidR="003B327E" w:rsidRPr="007647CD">
        <w:rPr>
          <w:sz w:val="28"/>
          <w:szCs w:val="28"/>
        </w:rPr>
        <w:t>бюджету муниципального образования «Зеленодольский муниципальный район» Республики Татарстан</w:t>
      </w:r>
      <w:r w:rsidRPr="007647CD">
        <w:rPr>
          <w:sz w:val="28"/>
          <w:szCs w:val="28"/>
        </w:rPr>
        <w:t xml:space="preserve"> </w:t>
      </w:r>
      <w:r w:rsidRPr="007647CD">
        <w:rPr>
          <w:color w:val="000000"/>
          <w:sz w:val="28"/>
          <w:szCs w:val="28"/>
          <w:shd w:val="clear" w:color="auto" w:fill="FFFFFF"/>
        </w:rPr>
        <w:t>в целях осуществления переданных полномочий.</w:t>
      </w:r>
    </w:p>
    <w:p w:rsidR="007647CD" w:rsidRDefault="007647CD" w:rsidP="000E39CD">
      <w:pPr>
        <w:spacing w:after="20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647CD">
        <w:rPr>
          <w:color w:val="000000"/>
          <w:sz w:val="28"/>
          <w:szCs w:val="28"/>
          <w:shd w:val="clear" w:color="auto" w:fill="FFFFFF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F4713D" w:rsidRPr="007647CD" w:rsidRDefault="00F4713D" w:rsidP="007647CD">
      <w:pPr>
        <w:spacing w:after="200"/>
        <w:contextualSpacing/>
        <w:jc w:val="both"/>
        <w:rPr>
          <w:sz w:val="28"/>
          <w:szCs w:val="28"/>
        </w:rPr>
      </w:pPr>
    </w:p>
    <w:p w:rsidR="007647CD" w:rsidRDefault="007647CD" w:rsidP="00C76968">
      <w:pPr>
        <w:spacing w:after="20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647CD">
        <w:rPr>
          <w:b/>
          <w:bCs/>
          <w:color w:val="000000"/>
          <w:sz w:val="28"/>
          <w:szCs w:val="28"/>
          <w:shd w:val="clear" w:color="auto" w:fill="FFFFFF"/>
        </w:rPr>
        <w:t>2. Порядок и условия предоставления иных межбюджетных трансфертов</w:t>
      </w:r>
    </w:p>
    <w:p w:rsidR="00F4713D" w:rsidRPr="007647CD" w:rsidRDefault="00F4713D" w:rsidP="00C76968">
      <w:pPr>
        <w:spacing w:after="200"/>
        <w:contextualSpacing/>
        <w:jc w:val="center"/>
        <w:rPr>
          <w:sz w:val="28"/>
          <w:szCs w:val="28"/>
        </w:rPr>
      </w:pP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2.1. Основаниями предоставления иных межбюджетных трансфертов из </w:t>
      </w:r>
      <w:r w:rsidRPr="007647CD">
        <w:rPr>
          <w:sz w:val="28"/>
          <w:szCs w:val="28"/>
        </w:rPr>
        <w:t xml:space="preserve">бюджета поселения бюджету района </w:t>
      </w:r>
      <w:r w:rsidRPr="007647CD">
        <w:rPr>
          <w:color w:val="000000"/>
          <w:sz w:val="28"/>
          <w:szCs w:val="28"/>
          <w:shd w:val="clear" w:color="auto" w:fill="FFFFFF"/>
        </w:rPr>
        <w:t>являются: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2.1.1. принятие соответствующего решения </w:t>
      </w:r>
      <w:r w:rsidRPr="007647CD">
        <w:rPr>
          <w:sz w:val="28"/>
          <w:szCs w:val="28"/>
        </w:rPr>
        <w:t>муниципальным обр</w:t>
      </w:r>
      <w:r w:rsidR="00C76968">
        <w:rPr>
          <w:sz w:val="28"/>
          <w:szCs w:val="28"/>
        </w:rPr>
        <w:t>азованием «Раифское сельское поселение</w:t>
      </w:r>
      <w:r w:rsidRPr="007647CD">
        <w:rPr>
          <w:sz w:val="28"/>
          <w:szCs w:val="28"/>
        </w:rPr>
        <w:t>» Зеленодольского муниципального района Республики Татарстан (далее поселение)</w:t>
      </w:r>
      <w:r w:rsidRPr="007647CD">
        <w:rPr>
          <w:color w:val="000000"/>
          <w:sz w:val="28"/>
          <w:szCs w:val="28"/>
          <w:shd w:val="clear" w:color="auto" w:fill="FFFFFF"/>
        </w:rPr>
        <w:t xml:space="preserve"> о передаче части полномочий по решению вопросов местного значения;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lastRenderedPageBreak/>
        <w:t xml:space="preserve">2.1.2. заключение соглашения между Исполнительным комитетом поселения </w:t>
      </w:r>
      <w:r w:rsidRPr="007647CD">
        <w:rPr>
          <w:sz w:val="28"/>
          <w:szCs w:val="28"/>
          <w:shd w:val="clear" w:color="auto" w:fill="FFFFFF"/>
        </w:rPr>
        <w:t xml:space="preserve">и Исполнительным комитетом </w:t>
      </w:r>
      <w:r w:rsidRPr="007647CD">
        <w:rPr>
          <w:sz w:val="28"/>
          <w:szCs w:val="28"/>
        </w:rPr>
        <w:t>Зеленодольского муниципального</w:t>
      </w:r>
      <w:r w:rsidRPr="007647CD">
        <w:rPr>
          <w:color w:val="000000"/>
          <w:sz w:val="28"/>
          <w:szCs w:val="28"/>
          <w:shd w:val="clear" w:color="auto" w:fill="FFFFFF"/>
        </w:rPr>
        <w:t xml:space="preserve"> района о передаче части полномочий по решению вопросов местного значения.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2.2. Объем средств и целевое назначение межбюджетных трансфертов утверждаются решением Совета </w:t>
      </w:r>
      <w:r w:rsidRPr="007647CD">
        <w:rPr>
          <w:sz w:val="28"/>
          <w:szCs w:val="28"/>
        </w:rPr>
        <w:t xml:space="preserve">поселения </w:t>
      </w:r>
      <w:r w:rsidRPr="007647CD">
        <w:rPr>
          <w:color w:val="000000"/>
          <w:sz w:val="28"/>
          <w:szCs w:val="28"/>
          <w:shd w:val="clear" w:color="auto" w:fill="FFFFFF"/>
        </w:rPr>
        <w:t>о бюджете на очередной финансовый год (очередной финансовый год и плановый период), а также посредством внесения изменений в решение о бюджете на текущий финансовый год.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7647CD" w:rsidRDefault="007647CD" w:rsidP="000E39CD">
      <w:pPr>
        <w:spacing w:after="20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647CD">
        <w:rPr>
          <w:color w:val="000000"/>
          <w:sz w:val="28"/>
          <w:szCs w:val="28"/>
          <w:shd w:val="clear" w:color="auto" w:fill="FFFFFF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F4713D" w:rsidRPr="007647CD" w:rsidRDefault="00F4713D" w:rsidP="007647CD">
      <w:pPr>
        <w:spacing w:after="200"/>
        <w:contextualSpacing/>
        <w:jc w:val="both"/>
        <w:rPr>
          <w:sz w:val="28"/>
          <w:szCs w:val="28"/>
        </w:rPr>
      </w:pPr>
    </w:p>
    <w:p w:rsidR="007647CD" w:rsidRDefault="007647CD" w:rsidP="00C76968">
      <w:pPr>
        <w:spacing w:after="20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647CD">
        <w:rPr>
          <w:b/>
          <w:bCs/>
          <w:color w:val="000000"/>
          <w:sz w:val="28"/>
          <w:szCs w:val="28"/>
          <w:shd w:val="clear" w:color="auto" w:fill="FFFFFF"/>
        </w:rPr>
        <w:t>3. Контроль за использованием межбюджетных трансфертов</w:t>
      </w:r>
    </w:p>
    <w:p w:rsidR="00F4713D" w:rsidRPr="007647CD" w:rsidRDefault="00F4713D" w:rsidP="00C76968">
      <w:pPr>
        <w:spacing w:after="200"/>
        <w:contextualSpacing/>
        <w:jc w:val="center"/>
        <w:rPr>
          <w:sz w:val="28"/>
          <w:szCs w:val="28"/>
        </w:rPr>
      </w:pP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3.1. Исполнительный комитет Зеленодольского муниципального района Республики Татарстан в сроки и формах, установленных в соглашении о передаче части полномочий, представляет Исполнительному комитету </w:t>
      </w:r>
      <w:r w:rsidRPr="007647CD">
        <w:rPr>
          <w:sz w:val="28"/>
          <w:szCs w:val="28"/>
        </w:rPr>
        <w:t xml:space="preserve">поселения </w:t>
      </w:r>
      <w:r w:rsidRPr="007647CD">
        <w:rPr>
          <w:color w:val="000000"/>
          <w:sz w:val="28"/>
          <w:szCs w:val="28"/>
          <w:shd w:val="clear" w:color="auto" w:fill="FFFFFF"/>
        </w:rPr>
        <w:t>отчет о расходовании средств иных межбюджетных трансфертов согласно приложению.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3.2.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аналогичные цели, при наличии потребности в указанных трансфертах в соответствии с решением о бюджете </w:t>
      </w:r>
      <w:r w:rsidRPr="007647CD">
        <w:rPr>
          <w:sz w:val="28"/>
          <w:szCs w:val="28"/>
        </w:rPr>
        <w:t xml:space="preserve">поселения </w:t>
      </w:r>
      <w:r w:rsidRPr="007647CD">
        <w:rPr>
          <w:color w:val="000000"/>
          <w:sz w:val="28"/>
          <w:szCs w:val="28"/>
          <w:shd w:val="clear" w:color="auto" w:fill="FFFFFF"/>
        </w:rPr>
        <w:t>на основании уведомлений по расчетам между бюджетами по межбюджетным трансфертам.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Pr="007647CD">
        <w:rPr>
          <w:sz w:val="28"/>
          <w:szCs w:val="28"/>
        </w:rPr>
        <w:t xml:space="preserve">поселения </w:t>
      </w:r>
      <w:r w:rsidRPr="007647CD">
        <w:rPr>
          <w:color w:val="000000"/>
          <w:sz w:val="28"/>
          <w:szCs w:val="28"/>
          <w:shd w:val="clear" w:color="auto" w:fill="FFFFFF"/>
        </w:rPr>
        <w:t>в соответствии со ст. 242 БК РФ.</w:t>
      </w:r>
    </w:p>
    <w:p w:rsidR="007647CD" w:rsidRPr="007647CD" w:rsidRDefault="007647CD" w:rsidP="000E39CD">
      <w:pPr>
        <w:spacing w:after="200"/>
        <w:ind w:firstLine="708"/>
        <w:contextualSpacing/>
        <w:jc w:val="both"/>
        <w:rPr>
          <w:b/>
          <w:sz w:val="28"/>
          <w:szCs w:val="28"/>
        </w:rPr>
      </w:pPr>
      <w:r w:rsidRPr="007647CD">
        <w:rPr>
          <w:color w:val="000000"/>
          <w:sz w:val="28"/>
          <w:szCs w:val="28"/>
          <w:shd w:val="clear" w:color="auto" w:fill="FFFFFF"/>
        </w:rPr>
        <w:t xml:space="preserve">3.3. Контроль за расходованием межбюджетных трансфертов осуществляет </w:t>
      </w:r>
      <w:r w:rsidRPr="007647CD">
        <w:rPr>
          <w:rStyle w:val="a3"/>
          <w:sz w:val="28"/>
          <w:szCs w:val="28"/>
        </w:rPr>
        <w:t>Муниципальное учреждение «Контрольно-счетная палата Зеленодольского муниципального района»</w:t>
      </w:r>
      <w:r w:rsidRPr="007647CD">
        <w:rPr>
          <w:rStyle w:val="2"/>
          <w:sz w:val="28"/>
          <w:szCs w:val="28"/>
        </w:rPr>
        <w:t>.</w:t>
      </w:r>
    </w:p>
    <w:p w:rsidR="007647CD" w:rsidRPr="007647CD" w:rsidRDefault="007647CD" w:rsidP="007647CD">
      <w:pPr>
        <w:spacing w:before="100" w:beforeAutospacing="1" w:after="100" w:afterAutospacing="1"/>
        <w:contextualSpacing/>
      </w:pPr>
      <w:r w:rsidRPr="007647CD">
        <w:t> </w:t>
      </w:r>
    </w:p>
    <w:p w:rsidR="007647CD" w:rsidRPr="007647CD" w:rsidRDefault="007647CD" w:rsidP="007647CD">
      <w:pPr>
        <w:spacing w:before="100" w:beforeAutospacing="1" w:after="100" w:afterAutospacing="1"/>
      </w:pPr>
    </w:p>
    <w:p w:rsidR="007647CD" w:rsidRPr="007647CD" w:rsidRDefault="007647CD" w:rsidP="007647CD">
      <w:pPr>
        <w:spacing w:before="100" w:beforeAutospacing="1" w:after="100" w:afterAutospacing="1"/>
      </w:pPr>
    </w:p>
    <w:p w:rsidR="007647CD" w:rsidRPr="007647CD" w:rsidRDefault="007647CD" w:rsidP="007647CD">
      <w:pPr>
        <w:spacing w:before="100" w:beforeAutospacing="1" w:after="100" w:afterAutospacing="1"/>
      </w:pPr>
    </w:p>
    <w:p w:rsidR="007647CD" w:rsidRPr="007647CD" w:rsidRDefault="007647CD" w:rsidP="007647CD">
      <w:pPr>
        <w:spacing w:before="100" w:beforeAutospacing="1" w:after="100" w:afterAutospacing="1"/>
      </w:pPr>
    </w:p>
    <w:p w:rsidR="007647CD" w:rsidRPr="007647CD" w:rsidRDefault="007647CD" w:rsidP="007647CD">
      <w:pPr>
        <w:spacing w:before="100" w:beforeAutospacing="1" w:after="100" w:afterAutospacing="1"/>
      </w:pPr>
    </w:p>
    <w:p w:rsidR="007647CD" w:rsidRPr="007647CD" w:rsidRDefault="007647CD" w:rsidP="007647CD">
      <w:pPr>
        <w:spacing w:before="100" w:beforeAutospacing="1" w:after="100" w:afterAutospacing="1"/>
      </w:pPr>
    </w:p>
    <w:p w:rsidR="007647CD" w:rsidRPr="007647CD" w:rsidRDefault="007647CD" w:rsidP="00F4713D">
      <w:pPr>
        <w:ind w:left="5670"/>
        <w:rPr>
          <w:b/>
        </w:rPr>
      </w:pPr>
      <w:r w:rsidRPr="007647CD">
        <w:t>Приложение</w:t>
      </w:r>
    </w:p>
    <w:p w:rsidR="007647CD" w:rsidRPr="007647CD" w:rsidRDefault="007647CD" w:rsidP="00F4713D">
      <w:pPr>
        <w:ind w:left="5670"/>
      </w:pPr>
      <w:r w:rsidRPr="007647CD">
        <w:lastRenderedPageBreak/>
        <w:t>к порядку предоставления межбюджетных трансфертов из бюджета муниципального об</w:t>
      </w:r>
      <w:r w:rsidR="00C76968">
        <w:t>разования «Раифское сельское поселение</w:t>
      </w:r>
      <w:r w:rsidRPr="007647CD">
        <w:t>» Зеленодольского муниципального района Республики Татарстан бюджету муниципального образования «Зеленодольский муниципальный район» Республики Татарстан</w:t>
      </w:r>
    </w:p>
    <w:p w:rsidR="007647CD" w:rsidRPr="007647CD" w:rsidRDefault="007647CD" w:rsidP="007647CD">
      <w:pPr>
        <w:spacing w:after="200"/>
        <w:jc w:val="center"/>
        <w:rPr>
          <w:color w:val="000000"/>
          <w:sz w:val="22"/>
          <w:szCs w:val="22"/>
          <w:shd w:val="clear" w:color="auto" w:fill="FFFFFF"/>
        </w:rPr>
      </w:pPr>
    </w:p>
    <w:p w:rsidR="007647CD" w:rsidRPr="007647CD" w:rsidRDefault="007647CD" w:rsidP="007647CD">
      <w:pPr>
        <w:spacing w:after="200"/>
        <w:jc w:val="center"/>
      </w:pPr>
      <w:r w:rsidRPr="007647CD">
        <w:rPr>
          <w:color w:val="000000"/>
          <w:sz w:val="22"/>
          <w:szCs w:val="22"/>
          <w:shd w:val="clear" w:color="auto" w:fill="FFFFFF"/>
        </w:rPr>
        <w:t>ОТЧЕТ</w:t>
      </w:r>
    </w:p>
    <w:p w:rsidR="007647CD" w:rsidRPr="007647CD" w:rsidRDefault="00C76968" w:rsidP="007647CD">
      <w:pPr>
        <w:spacing w:after="200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 использовании, </w:t>
      </w:r>
      <w:r w:rsidR="007647CD" w:rsidRPr="00C76968">
        <w:rPr>
          <w:color w:val="000000"/>
          <w:shd w:val="clear" w:color="auto" w:fill="FFFFFF"/>
        </w:rPr>
        <w:t>предоставленных из бюджета</w:t>
      </w:r>
      <w:r w:rsidR="007647CD" w:rsidRPr="00C76968">
        <w:t xml:space="preserve"> муниципального образования «</w:t>
      </w:r>
      <w:r w:rsidRPr="00C76968">
        <w:t>Раифское сельское поселение</w:t>
      </w:r>
      <w:r w:rsidR="007647CD" w:rsidRPr="00C76968">
        <w:t>» Зеленодольского муниципального района Республики Татарстан</w:t>
      </w:r>
      <w:r w:rsidR="007647CD" w:rsidRPr="00C76968">
        <w:rPr>
          <w:color w:val="000000"/>
          <w:shd w:val="clear" w:color="auto" w:fill="FFFFFF"/>
        </w:rPr>
        <w:t>, межбюджетных трансфертов на осуществление части полномочий</w:t>
      </w:r>
      <w:r w:rsidR="007647CD" w:rsidRPr="007647CD">
        <w:rPr>
          <w:color w:val="000000"/>
          <w:sz w:val="22"/>
          <w:szCs w:val="22"/>
          <w:shd w:val="clear" w:color="auto" w:fill="FFFFFF"/>
        </w:rPr>
        <w:t>.</w:t>
      </w:r>
    </w:p>
    <w:p w:rsidR="007647CD" w:rsidRPr="007647CD" w:rsidRDefault="007647CD" w:rsidP="007647CD">
      <w:pPr>
        <w:spacing w:after="200"/>
        <w:jc w:val="center"/>
      </w:pPr>
      <w:r w:rsidRPr="007647CD">
        <w:rPr>
          <w:color w:val="000000"/>
          <w:sz w:val="22"/>
          <w:szCs w:val="22"/>
          <w:shd w:val="clear" w:color="auto" w:fill="FFFFFF"/>
        </w:rPr>
        <w:t>на ___________ 20___ г.</w:t>
      </w:r>
    </w:p>
    <w:p w:rsidR="007647CD" w:rsidRPr="007647CD" w:rsidRDefault="007647CD" w:rsidP="007647CD">
      <w:pPr>
        <w:jc w:val="both"/>
      </w:pPr>
      <w:r w:rsidRPr="007647CD">
        <w:t> </w:t>
      </w:r>
    </w:p>
    <w:tbl>
      <w:tblPr>
        <w:tblW w:w="12231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418"/>
        <w:gridCol w:w="141"/>
        <w:gridCol w:w="1417"/>
        <w:gridCol w:w="285"/>
        <w:gridCol w:w="709"/>
        <w:gridCol w:w="424"/>
        <w:gridCol w:w="284"/>
        <w:gridCol w:w="851"/>
        <w:gridCol w:w="708"/>
        <w:gridCol w:w="566"/>
        <w:gridCol w:w="236"/>
        <w:gridCol w:w="236"/>
        <w:gridCol w:w="97"/>
        <w:gridCol w:w="1490"/>
      </w:tblGrid>
      <w:tr w:rsidR="007647CD" w:rsidRPr="007647CD" w:rsidTr="00A214F7">
        <w:trPr>
          <w:trHeight w:val="530"/>
        </w:trPr>
        <w:tc>
          <w:tcPr>
            <w:tcW w:w="1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84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70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27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7CD" w:rsidRPr="007647CD" w:rsidRDefault="007647CD" w:rsidP="00A214F7">
            <w:r w:rsidRPr="007647CD"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Остаток на 01.01. 20__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0"/>
                <w:szCs w:val="20"/>
              </w:rPr>
              <w:t xml:space="preserve">Поступило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Расходы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Остаток на 01.02.20__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Расходы на материально-техническое обеспечение, всего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135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135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135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  <w:tc>
          <w:tcPr>
            <w:tcW w:w="1135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7CD" w:rsidRPr="007647CD" w:rsidRDefault="007647CD" w:rsidP="00A214F7"/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  <w:jc w:val="center"/>
            </w:pPr>
            <w:r w:rsidRPr="007647CD">
              <w:rPr>
                <w:sz w:val="20"/>
                <w:szCs w:val="20"/>
              </w:rPr>
              <w:t>13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  <w:tr w:rsidR="007647CD" w:rsidRPr="007647CD" w:rsidTr="00A214F7">
        <w:trPr>
          <w:gridAfter w:val="1"/>
          <w:wAfter w:w="1490" w:type="dxa"/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7CD" w:rsidRPr="007647CD" w:rsidRDefault="007647CD" w:rsidP="00A214F7">
            <w:pPr>
              <w:spacing w:after="200"/>
            </w:pPr>
            <w:r w:rsidRPr="007647CD">
              <w:rPr>
                <w:sz w:val="22"/>
                <w:szCs w:val="22"/>
              </w:rPr>
              <w:t> </w:t>
            </w:r>
          </w:p>
        </w:tc>
      </w:tr>
    </w:tbl>
    <w:p w:rsidR="007647CD" w:rsidRPr="007647CD" w:rsidRDefault="007647CD" w:rsidP="007647CD">
      <w:pPr>
        <w:spacing w:after="200"/>
      </w:pPr>
    </w:p>
    <w:sectPr w:rsidR="007647CD" w:rsidRPr="007647CD" w:rsidSect="0031715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7CD"/>
    <w:rsid w:val="000E39CD"/>
    <w:rsid w:val="001B4975"/>
    <w:rsid w:val="0027226D"/>
    <w:rsid w:val="00290D4E"/>
    <w:rsid w:val="002E654C"/>
    <w:rsid w:val="00304561"/>
    <w:rsid w:val="003B327E"/>
    <w:rsid w:val="003F188F"/>
    <w:rsid w:val="004926DF"/>
    <w:rsid w:val="004B7438"/>
    <w:rsid w:val="00567D62"/>
    <w:rsid w:val="007647CD"/>
    <w:rsid w:val="00931C21"/>
    <w:rsid w:val="009E5DFD"/>
    <w:rsid w:val="00C76968"/>
    <w:rsid w:val="00D60BF4"/>
    <w:rsid w:val="00E0143F"/>
    <w:rsid w:val="00E77053"/>
    <w:rsid w:val="00F3668B"/>
    <w:rsid w:val="00F4713D"/>
    <w:rsid w:val="00FB15E4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DAC7-E981-4CA8-8907-95D7A830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7CD"/>
    <w:rPr>
      <w:b/>
      <w:bCs/>
    </w:rPr>
  </w:style>
  <w:style w:type="character" w:customStyle="1" w:styleId="2">
    <w:name w:val="Основной текст (2)_"/>
    <w:link w:val="20"/>
    <w:uiPriority w:val="99"/>
    <w:rsid w:val="007647C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47CD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7647CD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9E5D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6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0</cp:lastModifiedBy>
  <cp:revision>17</cp:revision>
  <cp:lastPrinted>2020-12-21T14:08:00Z</cp:lastPrinted>
  <dcterms:created xsi:type="dcterms:W3CDTF">2020-12-07T07:12:00Z</dcterms:created>
  <dcterms:modified xsi:type="dcterms:W3CDTF">2020-12-22T08:12:00Z</dcterms:modified>
</cp:coreProperties>
</file>