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94" w:rsidRPr="000D1BB9" w:rsidRDefault="00C63C94" w:rsidP="00144D1B">
      <w:pPr>
        <w:ind w:left="5670"/>
        <w:rPr>
          <w:b/>
          <w:sz w:val="22"/>
          <w:szCs w:val="22"/>
        </w:rPr>
      </w:pP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 xml:space="preserve">РЕСПУБЛИКА ТАТАРСТАН </w:t>
      </w: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>ЗЕЛЕНОДОЛЬСКИЙ МУНИЦИПАЛЬНЫЙ РАЙОН</w:t>
      </w:r>
    </w:p>
    <w:p w:rsidR="00E62DB7" w:rsidRPr="00393CC7" w:rsidRDefault="00E62DB7" w:rsidP="006D31C1">
      <w:pPr>
        <w:jc w:val="center"/>
        <w:rPr>
          <w:b/>
        </w:rPr>
      </w:pPr>
      <w:r w:rsidRPr="00393CC7">
        <w:rPr>
          <w:b/>
        </w:rPr>
        <w:t xml:space="preserve">СОВЕТ </w:t>
      </w:r>
      <w:r>
        <w:rPr>
          <w:b/>
        </w:rPr>
        <w:t>РАИФСКОГО СЕЛЬСКОГО ПОСЕЛЕНИЯ</w:t>
      </w:r>
    </w:p>
    <w:p w:rsidR="00E62DB7" w:rsidRPr="00393CC7" w:rsidRDefault="00E62DB7" w:rsidP="006D31C1">
      <w:pPr>
        <w:jc w:val="center"/>
        <w:rPr>
          <w:b/>
        </w:rPr>
      </w:pPr>
    </w:p>
    <w:p w:rsidR="00E62DB7" w:rsidRDefault="00E62DB7" w:rsidP="006D31C1">
      <w:pPr>
        <w:jc w:val="center"/>
        <w:rPr>
          <w:b/>
        </w:rPr>
      </w:pPr>
      <w:r w:rsidRPr="00393CC7">
        <w:rPr>
          <w:b/>
        </w:rPr>
        <w:t>РЕШЕНИЕ</w:t>
      </w:r>
    </w:p>
    <w:p w:rsidR="00E62DB7" w:rsidRPr="00393CC7" w:rsidRDefault="00E62DB7" w:rsidP="006D31C1">
      <w:pPr>
        <w:jc w:val="center"/>
        <w:rPr>
          <w:b/>
        </w:rPr>
      </w:pPr>
      <w:r>
        <w:rPr>
          <w:b/>
        </w:rPr>
        <w:t>КАРАР</w:t>
      </w:r>
    </w:p>
    <w:p w:rsidR="00E62DB7" w:rsidRPr="00393CC7" w:rsidRDefault="00E62DB7" w:rsidP="006D31C1">
      <w:r w:rsidRPr="00393CC7">
        <w:t xml:space="preserve"> </w:t>
      </w:r>
    </w:p>
    <w:p w:rsidR="00E62DB7" w:rsidRPr="00393CC7" w:rsidRDefault="00C70CCA" w:rsidP="006D31C1">
      <w:r>
        <w:t>31</w:t>
      </w:r>
      <w:r w:rsidR="00E62DB7" w:rsidRPr="00393CC7">
        <w:t xml:space="preserve"> </w:t>
      </w:r>
      <w:r>
        <w:t xml:space="preserve">мая </w:t>
      </w:r>
      <w:r w:rsidR="00E62DB7" w:rsidRPr="00393CC7">
        <w:t>20</w:t>
      </w:r>
      <w:r w:rsidR="00E62DB7">
        <w:t>21</w:t>
      </w:r>
      <w:r w:rsidR="00E62DB7" w:rsidRPr="00393CC7">
        <w:t xml:space="preserve"> года                      </w:t>
      </w:r>
      <w:r w:rsidR="00E62DB7">
        <w:t xml:space="preserve">                           </w:t>
      </w:r>
      <w:r w:rsidR="00E62DB7">
        <w:tab/>
      </w:r>
      <w:r w:rsidR="00E62DB7">
        <w:tab/>
      </w:r>
      <w:r w:rsidR="00E62DB7">
        <w:tab/>
        <w:t xml:space="preserve">         </w:t>
      </w:r>
      <w:r w:rsidR="00F65065">
        <w:t xml:space="preserve">             </w:t>
      </w:r>
      <w:r w:rsidR="00E62DB7">
        <w:t xml:space="preserve">   </w:t>
      </w:r>
      <w:r w:rsidR="00E62DB7" w:rsidRPr="00393CC7">
        <w:t xml:space="preserve">   № </w:t>
      </w:r>
      <w:r>
        <w:t>39</w:t>
      </w:r>
    </w:p>
    <w:p w:rsidR="00E62DB7" w:rsidRDefault="00E62DB7" w:rsidP="006D31C1"/>
    <w:p w:rsidR="00E62DB7" w:rsidRPr="00393CC7" w:rsidRDefault="00E62DB7" w:rsidP="006D31C1"/>
    <w:p w:rsidR="00E62DB7" w:rsidRPr="00A97C28" w:rsidRDefault="00E62DB7" w:rsidP="006D31C1">
      <w:pPr>
        <w:spacing w:after="240"/>
        <w:ind w:right="4252"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з</w:t>
      </w:r>
      <w:bookmarkStart w:id="0" w:name="_GoBack"/>
      <w:bookmarkEnd w:id="0"/>
      <w:r w:rsidRPr="00A97C28">
        <w:rPr>
          <w:rFonts w:eastAsia="Calibri"/>
          <w:lang w:eastAsia="en-US"/>
        </w:rPr>
        <w:t>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</w:t>
      </w:r>
    </w:p>
    <w:p w:rsidR="00E62DB7" w:rsidRDefault="00E62DB7" w:rsidP="006D31C1">
      <w:pPr>
        <w:ind w:right="-1" w:firstLine="851"/>
        <w:jc w:val="both"/>
        <w:rPr>
          <w:rFonts w:eastAsia="Calibri"/>
          <w:lang w:eastAsia="en-US"/>
        </w:rPr>
      </w:pPr>
    </w:p>
    <w:p w:rsidR="00E62DB7" w:rsidRPr="000875E8" w:rsidRDefault="00E62DB7" w:rsidP="006D31C1">
      <w:pPr>
        <w:ind w:right="-1" w:firstLine="851"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Заслушав и обсудив информацию </w:t>
      </w:r>
      <w:r>
        <w:rPr>
          <w:rFonts w:eastAsia="Calibri"/>
          <w:lang w:eastAsia="en-US"/>
        </w:rPr>
        <w:t xml:space="preserve">главы Раифского сельского поселения </w:t>
      </w:r>
      <w:r w:rsidR="00882B65">
        <w:rPr>
          <w:rFonts w:eastAsia="Calibri"/>
          <w:lang w:eastAsia="en-US"/>
        </w:rPr>
        <w:t>Нуриева И.Г.</w:t>
      </w:r>
      <w:r>
        <w:rPr>
          <w:rFonts w:eastAsia="Calibri"/>
          <w:lang w:eastAsia="en-US"/>
        </w:rPr>
        <w:t xml:space="preserve"> </w:t>
      </w:r>
      <w:r w:rsidRPr="00A97C28">
        <w:rPr>
          <w:rFonts w:eastAsia="Calibri"/>
          <w:lang w:eastAsia="en-US"/>
        </w:rPr>
        <w:t xml:space="preserve">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</w:t>
      </w:r>
      <w:r>
        <w:rPr>
          <w:rFonts w:eastAsia="Calibri"/>
          <w:lang w:eastAsia="en-US"/>
        </w:rPr>
        <w:t>она Республики Татарстан за 2020</w:t>
      </w:r>
      <w:r w:rsidRPr="00A97C28">
        <w:rPr>
          <w:rFonts w:eastAsia="Calibri"/>
          <w:lang w:eastAsia="en-US"/>
        </w:rPr>
        <w:t xml:space="preserve"> год, учитывая заключение МУ «Конт</w:t>
      </w:r>
      <w:r>
        <w:rPr>
          <w:rFonts w:eastAsia="Calibri"/>
          <w:lang w:eastAsia="en-US"/>
        </w:rPr>
        <w:t>р</w:t>
      </w:r>
      <w:r w:rsidRPr="00A97C28">
        <w:rPr>
          <w:rFonts w:eastAsia="Calibri"/>
          <w:lang w:eastAsia="en-US"/>
        </w:rPr>
        <w:t>ольно</w:t>
      </w:r>
      <w:r>
        <w:rPr>
          <w:rFonts w:eastAsia="Calibri"/>
          <w:lang w:eastAsia="en-US"/>
        </w:rPr>
        <w:t>–</w:t>
      </w:r>
      <w:r w:rsidRPr="00A97C28">
        <w:rPr>
          <w:rFonts w:eastAsia="Calibri"/>
          <w:lang w:eastAsia="en-US"/>
        </w:rPr>
        <w:t xml:space="preserve">счётная палата Зеленодольского муниципального района» на отчёт 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за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год, отмечая, что отчёт об исполнении бюджета муниципального образования </w:t>
      </w:r>
      <w:r>
        <w:rPr>
          <w:rFonts w:eastAsia="Calibri"/>
          <w:lang w:eastAsia="en-US"/>
        </w:rPr>
        <w:t>«Раифское 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</w:t>
      </w:r>
      <w:r>
        <w:rPr>
          <w:rFonts w:eastAsia="Calibri"/>
          <w:lang w:eastAsia="en-US"/>
        </w:rPr>
        <w:t>атарстан за 2020</w:t>
      </w:r>
      <w:r w:rsidRPr="00A97C28">
        <w:rPr>
          <w:rFonts w:eastAsia="Calibri"/>
          <w:lang w:eastAsia="en-US"/>
        </w:rPr>
        <w:t xml:space="preserve"> год был обсужден на публичном слушании, а также, руководствуясь Бюджетным Кодексом Российской Федерации, Уставом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Татарстан, Положением о бюджетном процессе</w:t>
      </w:r>
      <w:r>
        <w:rPr>
          <w:rFonts w:eastAsia="Calibri"/>
          <w:lang w:eastAsia="en-US"/>
        </w:rPr>
        <w:t xml:space="preserve"> в муниципальном образовании «Раифское сельское поселение» Зеленодольского района Республики Татарстан</w:t>
      </w:r>
      <w:r w:rsidRPr="00A97C28">
        <w:rPr>
          <w:rFonts w:eastAsia="Calibri"/>
          <w:lang w:eastAsia="en-US"/>
        </w:rPr>
        <w:t xml:space="preserve">, Совет </w:t>
      </w:r>
      <w:r>
        <w:rPr>
          <w:rFonts w:eastAsia="Calibri"/>
          <w:lang w:eastAsia="en-US"/>
        </w:rPr>
        <w:t>Раифского сельского поселения</w:t>
      </w:r>
      <w:r w:rsidRPr="00A97C28">
        <w:rPr>
          <w:rFonts w:eastAsia="Calibri"/>
          <w:lang w:eastAsia="en-US"/>
        </w:rPr>
        <w:t xml:space="preserve"> Зеленодольского муниципального района Республики Татарстан </w:t>
      </w:r>
      <w:r w:rsidRPr="00A97C28">
        <w:rPr>
          <w:rFonts w:eastAsia="Calibri"/>
          <w:b/>
          <w:lang w:eastAsia="en-US"/>
        </w:rPr>
        <w:t>решил:</w:t>
      </w:r>
    </w:p>
    <w:p w:rsidR="00E62DB7" w:rsidRPr="00A97C28" w:rsidRDefault="00E62DB7" w:rsidP="006D31C1">
      <w:pPr>
        <w:numPr>
          <w:ilvl w:val="0"/>
          <w:numId w:val="6"/>
        </w:numPr>
        <w:spacing w:after="200"/>
        <w:ind w:left="0"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 xml:space="preserve">Утвердить отчет об исполнении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</w:t>
      </w:r>
      <w:r w:rsidRPr="00A97C28">
        <w:rPr>
          <w:rFonts w:eastAsia="Calibri"/>
          <w:lang w:eastAsia="en-US"/>
        </w:rPr>
        <w:t xml:space="preserve"> Зеленодольского муниципального ра</w:t>
      </w:r>
      <w:r>
        <w:rPr>
          <w:rFonts w:eastAsia="Calibri"/>
          <w:lang w:eastAsia="en-US"/>
        </w:rPr>
        <w:t>йона Республики Татарстан за 2020</w:t>
      </w:r>
      <w:r w:rsidRPr="00A97C28">
        <w:rPr>
          <w:rFonts w:eastAsia="Calibri"/>
          <w:lang w:eastAsia="en-US"/>
        </w:rPr>
        <w:t xml:space="preserve"> год по доходам в сумме </w:t>
      </w:r>
      <w:r>
        <w:rPr>
          <w:rFonts w:eastAsia="Calibri"/>
          <w:lang w:eastAsia="en-US"/>
        </w:rPr>
        <w:t>6 628 534,57</w:t>
      </w:r>
      <w:r w:rsidRPr="00A97C28">
        <w:rPr>
          <w:rFonts w:eastAsia="Calibri"/>
          <w:lang w:eastAsia="en-US"/>
        </w:rPr>
        <w:t xml:space="preserve"> рублей, по расходам в сумме</w:t>
      </w:r>
      <w:r>
        <w:rPr>
          <w:rFonts w:eastAsia="Calibri"/>
          <w:lang w:eastAsia="en-US"/>
        </w:rPr>
        <w:t xml:space="preserve"> 6 643 080,39 рублей с превышением расходов над доходами </w:t>
      </w:r>
      <w:r w:rsidRPr="008C44F6">
        <w:t xml:space="preserve">(дефицит бюджета муниципального образования </w:t>
      </w:r>
      <w:r>
        <w:t>Раиф</w:t>
      </w:r>
      <w:r w:rsidRPr="008C44F6">
        <w:t>ское сельское поселение ЗМР РТ)</w:t>
      </w:r>
      <w:r w:rsidRPr="006130E4">
        <w:t xml:space="preserve"> </w:t>
      </w:r>
      <w:r w:rsidRPr="00A97C28">
        <w:rPr>
          <w:rFonts w:eastAsia="Calibri"/>
          <w:lang w:eastAsia="en-US"/>
        </w:rPr>
        <w:t xml:space="preserve">в сумме </w:t>
      </w:r>
      <w:r>
        <w:rPr>
          <w:rFonts w:eastAsia="Calibri"/>
          <w:lang w:eastAsia="en-US"/>
        </w:rPr>
        <w:t xml:space="preserve">14 546,82 </w:t>
      </w:r>
      <w:r w:rsidRPr="00A97C28">
        <w:rPr>
          <w:rFonts w:eastAsia="Calibri"/>
          <w:lang w:eastAsia="en-US"/>
        </w:rPr>
        <w:t>рублей и со следующими показателями: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источникам финансирования дефицита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 Зеленодольского муниципального района Республики Татарстан</w:t>
      </w:r>
      <w:r w:rsidRPr="00A97C28">
        <w:rPr>
          <w:rFonts w:eastAsia="Calibri"/>
          <w:lang w:eastAsia="en-US"/>
        </w:rPr>
        <w:t xml:space="preserve"> за 20</w:t>
      </w:r>
      <w:r>
        <w:rPr>
          <w:rFonts w:eastAsia="Calibri"/>
          <w:lang w:eastAsia="en-US"/>
        </w:rPr>
        <w:t>20</w:t>
      </w:r>
      <w:r w:rsidRPr="00A97C28">
        <w:rPr>
          <w:rFonts w:eastAsia="Calibri"/>
          <w:lang w:eastAsia="en-US"/>
        </w:rPr>
        <w:t xml:space="preserve"> год согласно приложению №1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объемам доходов бюджета муниципального образования </w:t>
      </w:r>
      <w:r>
        <w:rPr>
          <w:rFonts w:eastAsia="Calibri"/>
          <w:lang w:eastAsia="en-US"/>
        </w:rPr>
        <w:t xml:space="preserve">«Раифское сельское поселение» Зеленодольского муниципального района Республики </w:t>
      </w:r>
      <w:r>
        <w:rPr>
          <w:rFonts w:eastAsia="Calibri"/>
          <w:lang w:eastAsia="en-US"/>
        </w:rPr>
        <w:lastRenderedPageBreak/>
        <w:t xml:space="preserve">Татарстан за 2020 </w:t>
      </w:r>
      <w:r w:rsidRPr="00A97C28">
        <w:rPr>
          <w:rFonts w:eastAsia="Calibri"/>
          <w:lang w:eastAsia="en-US"/>
        </w:rPr>
        <w:t>год по кодам классификации доходов согласно приложению № 2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>по распределению бюджетных ассигнований по разделам и подразделам, целевым статьям</w:t>
      </w:r>
      <w:r>
        <w:rPr>
          <w:rFonts w:eastAsia="Calibri"/>
          <w:lang w:eastAsia="en-US"/>
        </w:rPr>
        <w:t xml:space="preserve"> и видам расходов бюджета на 2020</w:t>
      </w:r>
      <w:r w:rsidRPr="00A97C28">
        <w:rPr>
          <w:rFonts w:eastAsia="Calibri"/>
          <w:lang w:eastAsia="en-US"/>
        </w:rPr>
        <w:t xml:space="preserve"> год согласно приложению № 3 к настоящему решению;</w:t>
      </w:r>
    </w:p>
    <w:p w:rsidR="00E62DB7" w:rsidRPr="00A97C28" w:rsidRDefault="00E62DB7" w:rsidP="006D31C1">
      <w:pPr>
        <w:ind w:right="-1" w:firstLine="567"/>
        <w:contextualSpacing/>
        <w:jc w:val="both"/>
        <w:rPr>
          <w:rFonts w:eastAsia="Calibri"/>
          <w:lang w:eastAsia="en-US"/>
        </w:rPr>
      </w:pPr>
      <w:r w:rsidRPr="00A97C28">
        <w:rPr>
          <w:rFonts w:eastAsia="Calibri"/>
          <w:lang w:eastAsia="en-US"/>
        </w:rPr>
        <w:t>-</w:t>
      </w:r>
      <w:r w:rsidRPr="00A97C28">
        <w:rPr>
          <w:rFonts w:eastAsia="Calibri"/>
          <w:lang w:eastAsia="en-US"/>
        </w:rPr>
        <w:tab/>
        <w:t xml:space="preserve">по ведомственной структуре расходов бюджета муниципального образования </w:t>
      </w:r>
      <w:r>
        <w:rPr>
          <w:rFonts w:eastAsia="Calibri"/>
          <w:lang w:eastAsia="en-US"/>
        </w:rPr>
        <w:t>«Раифское сельское поселение» Зеленодольского муниципального района Республики Татарстан за 2020</w:t>
      </w:r>
      <w:r w:rsidRPr="00A97C28">
        <w:rPr>
          <w:rFonts w:eastAsia="Calibri"/>
          <w:lang w:eastAsia="en-US"/>
        </w:rPr>
        <w:t xml:space="preserve"> год согласно приложению № </w:t>
      </w:r>
      <w:r>
        <w:rPr>
          <w:rFonts w:eastAsia="Calibri"/>
          <w:lang w:eastAsia="en-US"/>
        </w:rPr>
        <w:t>4 к настоящему решению.</w:t>
      </w: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93CC7">
        <w:rPr>
          <w:rFonts w:ascii="Times New Roman" w:hAnsi="Times New Roman"/>
          <w:sz w:val="28"/>
          <w:szCs w:val="28"/>
        </w:rPr>
        <w:t xml:space="preserve">2. </w:t>
      </w:r>
      <w:r w:rsidRPr="002E3D26">
        <w:rPr>
          <w:rFonts w:ascii="Times New Roman" w:hAnsi="Times New Roman"/>
          <w:sz w:val="28"/>
          <w:szCs w:val="28"/>
        </w:rPr>
        <w:t>Разместить настоящее решение на официальном портале правовой информации Республики Татарстан (http://pravo.tatarstan.ru) и официальном сайте Зеленодольского муниципального района в составе Портала муниципальных образований Республики Татарстан (</w:t>
      </w:r>
      <w:hyperlink r:id="rId8" w:history="1">
        <w:r w:rsidRPr="002E3D26">
          <w:rPr>
            <w:rFonts w:ascii="Times New Roman" w:hAnsi="Times New Roman"/>
            <w:color w:val="0000FF"/>
            <w:sz w:val="28"/>
            <w:szCs w:val="28"/>
            <w:u w:val="single"/>
          </w:rPr>
          <w:t>http://zelenodolsk.tatarstan.ru</w:t>
        </w:r>
      </w:hyperlink>
      <w:r w:rsidRPr="002E3D26">
        <w:rPr>
          <w:rFonts w:ascii="Times New Roman" w:hAnsi="Times New Roman"/>
          <w:sz w:val="28"/>
          <w:szCs w:val="28"/>
        </w:rPr>
        <w:t xml:space="preserve">) в информационно-телекоммуникационной сети «Интернет», и на информационных стендах </w:t>
      </w:r>
      <w:r>
        <w:rPr>
          <w:rFonts w:ascii="Times New Roman" w:hAnsi="Times New Roman"/>
          <w:sz w:val="28"/>
          <w:szCs w:val="28"/>
        </w:rPr>
        <w:t xml:space="preserve">Раифского </w:t>
      </w:r>
      <w:r w:rsidRPr="002E3D26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2DB7" w:rsidRDefault="00E62DB7" w:rsidP="006D31C1">
      <w:pPr>
        <w:pStyle w:val="a8"/>
        <w:tabs>
          <w:tab w:val="left" w:pos="184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62DB7" w:rsidRPr="00AF7C5F" w:rsidRDefault="00E62DB7" w:rsidP="006D31C1">
      <w:pPr>
        <w:pStyle w:val="a8"/>
        <w:tabs>
          <w:tab w:val="left" w:pos="184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F7C5F">
        <w:rPr>
          <w:rFonts w:ascii="Times New Roman" w:hAnsi="Times New Roman"/>
          <w:sz w:val="28"/>
          <w:szCs w:val="28"/>
        </w:rPr>
        <w:t>Глава Поселения,</w:t>
      </w:r>
    </w:p>
    <w:p w:rsidR="00CF18EA" w:rsidRPr="00BF569A" w:rsidRDefault="00E62DB7" w:rsidP="006D31C1">
      <w:r w:rsidRPr="00AF7C5F">
        <w:t xml:space="preserve">Председатель Совета         </w:t>
      </w:r>
      <w:r w:rsidRPr="00AF7C5F">
        <w:tab/>
      </w:r>
      <w:r w:rsidRPr="00AF7C5F">
        <w:tab/>
      </w:r>
      <w:r w:rsidRPr="00AF7C5F">
        <w:tab/>
      </w:r>
      <w:r w:rsidRPr="00AF7C5F">
        <w:tab/>
      </w:r>
      <w:r w:rsidRPr="00AF7C5F">
        <w:tab/>
      </w:r>
      <w:r w:rsidRPr="00AF7C5F">
        <w:tab/>
        <w:t xml:space="preserve">                      И.Г. Нуриев</w:t>
      </w:r>
      <w:r w:rsidRPr="00AF7C5F">
        <w:rPr>
          <w:szCs w:val="24"/>
        </w:rPr>
        <w:t xml:space="preserve"> </w:t>
      </w:r>
      <w:r w:rsidR="008B20EA" w:rsidRPr="00BF569A">
        <w:br w:type="page"/>
      </w:r>
    </w:p>
    <w:p w:rsidR="008E5312" w:rsidRDefault="008E5312">
      <w:pPr>
        <w:rPr>
          <w:bCs/>
        </w:rPr>
      </w:pPr>
    </w:p>
    <w:tbl>
      <w:tblPr>
        <w:tblStyle w:val="a7"/>
        <w:tblW w:w="10061" w:type="dxa"/>
        <w:tblLook w:val="04A0" w:firstRow="1" w:lastRow="0" w:firstColumn="1" w:lastColumn="0" w:noHBand="0" w:noVBand="1"/>
      </w:tblPr>
      <w:tblGrid>
        <w:gridCol w:w="1497"/>
        <w:gridCol w:w="3522"/>
        <w:gridCol w:w="654"/>
        <w:gridCol w:w="1390"/>
        <w:gridCol w:w="1374"/>
        <w:gridCol w:w="1277"/>
        <w:gridCol w:w="707"/>
      </w:tblGrid>
      <w:tr w:rsidR="008E5312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1" w:name="RANGE!A1:F27"/>
            <w:bookmarkEnd w:id="1"/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№1</w:t>
            </w:r>
          </w:p>
        </w:tc>
      </w:tr>
      <w:tr w:rsidR="008E5312" w:rsidRPr="008E5312" w:rsidTr="00882B65">
        <w:trPr>
          <w:trHeight w:val="315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  <w:r w:rsidR="00C70CCA">
              <w:rPr>
                <w:bCs/>
                <w:sz w:val="22"/>
                <w:szCs w:val="22"/>
              </w:rPr>
              <w:t xml:space="preserve">» от </w:t>
            </w:r>
            <w:r w:rsidR="00F96BB8">
              <w:rPr>
                <w:bCs/>
                <w:sz w:val="22"/>
                <w:szCs w:val="22"/>
              </w:rPr>
              <w:t>3105.2021г.№39</w:t>
            </w:r>
            <w:r w:rsidRPr="008E5312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E5312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8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82B65" w:rsidRPr="008E5312" w:rsidTr="00882B65">
        <w:trPr>
          <w:trHeight w:val="300"/>
        </w:trPr>
        <w:tc>
          <w:tcPr>
            <w:tcW w:w="155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82B65" w:rsidRPr="008E5312" w:rsidTr="00882B65">
        <w:trPr>
          <w:gridAfter w:val="1"/>
          <w:wAfter w:w="739" w:type="dxa"/>
          <w:trHeight w:val="300"/>
        </w:trPr>
        <w:tc>
          <w:tcPr>
            <w:tcW w:w="9322" w:type="dxa"/>
            <w:gridSpan w:val="6"/>
            <w:tcBorders>
              <w:top w:val="nil"/>
            </w:tcBorders>
            <w:hideMark/>
          </w:tcPr>
          <w:p w:rsidR="00882B65" w:rsidRPr="00882B65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82B65">
              <w:rPr>
                <w:b/>
                <w:bCs/>
                <w:sz w:val="22"/>
                <w:szCs w:val="22"/>
              </w:rPr>
              <w:t>Источники финансирования дефицита бюджета</w:t>
            </w: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9322" w:type="dxa"/>
            <w:gridSpan w:val="6"/>
            <w:hideMark/>
          </w:tcPr>
          <w:p w:rsidR="00882B65" w:rsidRPr="00882B65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82B65">
              <w:rPr>
                <w:b/>
                <w:bCs/>
                <w:sz w:val="22"/>
                <w:szCs w:val="22"/>
              </w:rPr>
              <w:t>муниципального образования "Раифское сельское поселение" Зеленодольского муниципального района Республики Татарстан</w:t>
            </w:r>
          </w:p>
        </w:tc>
      </w:tr>
      <w:tr w:rsidR="00882B65" w:rsidRPr="008E5312" w:rsidTr="00882B65">
        <w:trPr>
          <w:gridAfter w:val="1"/>
          <w:wAfter w:w="739" w:type="dxa"/>
          <w:trHeight w:val="315"/>
        </w:trPr>
        <w:tc>
          <w:tcPr>
            <w:tcW w:w="9322" w:type="dxa"/>
            <w:gridSpan w:val="6"/>
            <w:hideMark/>
          </w:tcPr>
          <w:p w:rsidR="00882B65" w:rsidRPr="00882B65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82B65">
              <w:rPr>
                <w:b/>
                <w:bCs/>
                <w:sz w:val="22"/>
                <w:szCs w:val="22"/>
              </w:rPr>
              <w:t>за 2020 год</w:t>
            </w:r>
          </w:p>
        </w:tc>
      </w:tr>
      <w:tr w:rsidR="00882B65" w:rsidRPr="008E5312" w:rsidTr="00882B65">
        <w:trPr>
          <w:gridAfter w:val="1"/>
          <w:wAfter w:w="739" w:type="dxa"/>
          <w:trHeight w:val="315"/>
        </w:trPr>
        <w:tc>
          <w:tcPr>
            <w:tcW w:w="1551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660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72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2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78" w:type="dxa"/>
            <w:noWrap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рублей</w:t>
            </w:r>
          </w:p>
        </w:tc>
      </w:tr>
      <w:tr w:rsidR="00882B65" w:rsidRPr="008E5312" w:rsidTr="00882B65">
        <w:trPr>
          <w:gridAfter w:val="1"/>
          <w:wAfter w:w="739" w:type="dxa"/>
          <w:trHeight w:val="812"/>
        </w:trPr>
        <w:tc>
          <w:tcPr>
            <w:tcW w:w="1551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Код показателя</w:t>
            </w:r>
          </w:p>
        </w:tc>
        <w:tc>
          <w:tcPr>
            <w:tcW w:w="3660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72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ДКИ</w:t>
            </w:r>
          </w:p>
        </w:tc>
        <w:tc>
          <w:tcPr>
            <w:tcW w:w="1439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Уточненные бюджетные назначения</w:t>
            </w:r>
          </w:p>
        </w:tc>
        <w:tc>
          <w:tcPr>
            <w:tcW w:w="1422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Исполнение</w:t>
            </w:r>
          </w:p>
        </w:tc>
        <w:tc>
          <w:tcPr>
            <w:tcW w:w="578" w:type="dxa"/>
            <w:hideMark/>
          </w:tcPr>
          <w:p w:rsidR="00882B65" w:rsidRPr="008E5312" w:rsidRDefault="00882B65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% исполнения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504 409,05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14 546,22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2,9%</w:t>
            </w:r>
          </w:p>
        </w:tc>
      </w:tr>
      <w:tr w:rsidR="00882B65" w:rsidRPr="008E5312" w:rsidTr="00882B65">
        <w:trPr>
          <w:gridAfter w:val="1"/>
          <w:wAfter w:w="739" w:type="dxa"/>
          <w:trHeight w:val="945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01 00 00 00 00 0000 000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504 409,05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14 546,22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2,9%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01 05 00 00 00 0000 000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01 05 00 00 00 0000 500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01 05 02 00 00 0000 510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Увеличение прочих остатков средств бюджетов 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01 05 02 01 00 0000 510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01 05 02 01 10 0000 510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-6 702 193,15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-6 628 534,17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01 05 02 01 10 0000 510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01 05 00 00 00 0000 600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01 05 02 00 00 0000 610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Уменьшение прочих остатков средств бюджетов 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</w:tr>
      <w:tr w:rsidR="00882B65" w:rsidRPr="008E5312" w:rsidTr="00882B65">
        <w:trPr>
          <w:gridAfter w:val="1"/>
          <w:wAfter w:w="739" w:type="dxa"/>
          <w:trHeight w:val="6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01 05 02 01 00 0000 610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01 05 02 01 10 0000 610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7 206 602,20</w:t>
            </w:r>
          </w:p>
        </w:tc>
        <w:tc>
          <w:tcPr>
            <w:tcW w:w="1422" w:type="dxa"/>
            <w:noWrap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6 643 080,39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92,2%</w:t>
            </w:r>
          </w:p>
        </w:tc>
      </w:tr>
      <w:tr w:rsidR="00882B65" w:rsidRPr="008E5312" w:rsidTr="00882B65">
        <w:trPr>
          <w:gridAfter w:val="1"/>
          <w:wAfter w:w="739" w:type="dxa"/>
          <w:trHeight w:val="900"/>
        </w:trPr>
        <w:tc>
          <w:tcPr>
            <w:tcW w:w="1551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01 05 02 01 10 0000 610</w:t>
            </w:r>
          </w:p>
        </w:tc>
        <w:tc>
          <w:tcPr>
            <w:tcW w:w="3660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7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500*</w:t>
            </w:r>
          </w:p>
        </w:tc>
        <w:tc>
          <w:tcPr>
            <w:tcW w:w="1439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422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578" w:type="dxa"/>
            <w:hideMark/>
          </w:tcPr>
          <w:p w:rsidR="00882B65" w:rsidRPr="008E5312" w:rsidRDefault="00882B65" w:rsidP="00882B65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8E5312" w:rsidRDefault="008E5312" w:rsidP="006D31C1">
      <w:pPr>
        <w:autoSpaceDE w:val="0"/>
        <w:autoSpaceDN w:val="0"/>
        <w:adjustRightInd w:val="0"/>
        <w:contextualSpacing/>
        <w:jc w:val="both"/>
        <w:rPr>
          <w:bCs/>
        </w:rPr>
      </w:pPr>
    </w:p>
    <w:p w:rsidR="008E5312" w:rsidRDefault="008E5312">
      <w:pPr>
        <w:rPr>
          <w:bCs/>
        </w:rPr>
      </w:pPr>
      <w:r>
        <w:rPr>
          <w:bCs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381"/>
        <w:gridCol w:w="1622"/>
        <w:gridCol w:w="528"/>
        <w:gridCol w:w="1350"/>
        <w:gridCol w:w="1567"/>
        <w:gridCol w:w="866"/>
      </w:tblGrid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2" w:name="RANGE!A1:F126"/>
            <w:bookmarkEnd w:id="2"/>
          </w:p>
        </w:tc>
        <w:tc>
          <w:tcPr>
            <w:tcW w:w="593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 2</w:t>
            </w: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C70CCA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  <w:r w:rsidR="00F96BB8">
              <w:rPr>
                <w:bCs/>
                <w:sz w:val="22"/>
                <w:szCs w:val="22"/>
              </w:rPr>
              <w:t xml:space="preserve"> от 31.05.2021г. №39</w:t>
            </w:r>
            <w:r w:rsidR="00C70CCA">
              <w:rPr>
                <w:bCs/>
                <w:sz w:val="22"/>
                <w:szCs w:val="22"/>
              </w:rPr>
              <w:t xml:space="preserve">    </w:t>
            </w:r>
            <w:r w:rsidRPr="008E5312">
              <w:rPr>
                <w:bCs/>
                <w:sz w:val="22"/>
                <w:szCs w:val="22"/>
              </w:rPr>
              <w:t xml:space="preserve">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  <w:r w:rsidRPr="008E5312">
              <w:rPr>
                <w:bCs/>
                <w:sz w:val="22"/>
                <w:szCs w:val="22"/>
              </w:rPr>
              <w:br/>
              <w:t xml:space="preserve">    </w:t>
            </w: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55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150"/>
        </w:trPr>
        <w:tc>
          <w:tcPr>
            <w:tcW w:w="438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933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30"/>
        </w:trPr>
        <w:tc>
          <w:tcPr>
            <w:tcW w:w="10314" w:type="dxa"/>
            <w:gridSpan w:val="6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Объемы доходов бюджета муниципального образования "Раифское сельское поселение "</w:t>
            </w:r>
          </w:p>
        </w:tc>
      </w:tr>
      <w:tr w:rsidR="008E5312" w:rsidRPr="008E5312" w:rsidTr="008E5312">
        <w:trPr>
          <w:trHeight w:val="345"/>
        </w:trPr>
        <w:tc>
          <w:tcPr>
            <w:tcW w:w="10314" w:type="dxa"/>
            <w:gridSpan w:val="6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Зеленодольского муниципального района Республики Татарстан за 2020 год</w:t>
            </w:r>
          </w:p>
        </w:tc>
      </w:tr>
      <w:tr w:rsidR="008E5312" w:rsidRPr="008E5312" w:rsidTr="008E5312">
        <w:trPr>
          <w:trHeight w:val="240"/>
        </w:trPr>
        <w:tc>
          <w:tcPr>
            <w:tcW w:w="4381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375"/>
        </w:trPr>
        <w:tc>
          <w:tcPr>
            <w:tcW w:w="4381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рублей</w:t>
            </w:r>
          </w:p>
        </w:tc>
      </w:tr>
      <w:tr w:rsidR="008E5312" w:rsidRPr="008E5312" w:rsidTr="008E5312">
        <w:trPr>
          <w:trHeight w:val="322"/>
        </w:trPr>
        <w:tc>
          <w:tcPr>
            <w:tcW w:w="4381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622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Код дохода</w:t>
            </w:r>
          </w:p>
        </w:tc>
        <w:tc>
          <w:tcPr>
            <w:tcW w:w="528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ДКД</w:t>
            </w:r>
          </w:p>
        </w:tc>
        <w:tc>
          <w:tcPr>
            <w:tcW w:w="1350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Утвержденный бюджет</w:t>
            </w:r>
          </w:p>
        </w:tc>
        <w:tc>
          <w:tcPr>
            <w:tcW w:w="1567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Кассовое исполнение</w:t>
            </w:r>
          </w:p>
        </w:tc>
        <w:tc>
          <w:tcPr>
            <w:tcW w:w="866" w:type="dxa"/>
            <w:vMerge w:val="restart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% исполне                              ния</w:t>
            </w:r>
          </w:p>
        </w:tc>
      </w:tr>
      <w:tr w:rsidR="008E5312" w:rsidRPr="008E5312" w:rsidTr="008E5312">
        <w:trPr>
          <w:trHeight w:val="322"/>
        </w:trPr>
        <w:tc>
          <w:tcPr>
            <w:tcW w:w="4381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622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28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67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66" w:type="dxa"/>
            <w:vMerge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</w:tr>
      <w:tr w:rsidR="008E5312" w:rsidRPr="008E5312" w:rsidTr="008E5312">
        <w:trPr>
          <w:trHeight w:val="28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5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56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center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</w:t>
            </w:r>
          </w:p>
        </w:tc>
      </w:tr>
      <w:tr w:rsidR="008E5312" w:rsidRPr="008E5312" w:rsidTr="008E5312">
        <w:trPr>
          <w:trHeight w:val="4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Доходы бюджета -ИТОГО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6 702 193,15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6 628 534,57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98,9%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1 00 00000 00 0000 000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4 873 666,00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4 800 007,42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98,5%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600 559,76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100,3%</w:t>
            </w:r>
          </w:p>
        </w:tc>
      </w:tr>
      <w:tr w:rsidR="008E5312" w:rsidRPr="008E5312" w:rsidTr="008E5312">
        <w:trPr>
          <w:trHeight w:val="3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1 01 02000 01 0000 110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600 559,76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100,3%</w:t>
            </w:r>
          </w:p>
        </w:tc>
      </w:tr>
      <w:tr w:rsidR="008E5312" w:rsidRPr="008E5312" w:rsidTr="008E5312">
        <w:trPr>
          <w:trHeight w:val="222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1 01 02010 01 1000 110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598 500,00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593 571,95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99,2%</w:t>
            </w:r>
          </w:p>
        </w:tc>
      </w:tr>
      <w:tr w:rsidR="008E5312" w:rsidRPr="008E5312" w:rsidTr="008E5312">
        <w:trPr>
          <w:trHeight w:val="222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1 01 02010 01 2100 110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310,32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0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1 01 02020 01 1000 110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129,50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8E5312">
        <w:trPr>
          <w:trHeight w:val="24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1 01 02020 01 2100 110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8E5312">
        <w:trPr>
          <w:trHeight w:val="30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1 01 02020 01 3000 110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26,21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7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1 01 02030 01 1000 110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6 213,04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8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1 01 02030 01 2100 110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30,10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5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1 01 02030 01 3000 110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264,64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52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НАЛОГИ НА ИМУЩЕСТВО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3 789 000,00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3 707 828,33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97,9%</w:t>
            </w:r>
          </w:p>
        </w:tc>
      </w:tr>
      <w:tr w:rsidR="008E5312" w:rsidRPr="008E5312" w:rsidTr="008E5312">
        <w:trPr>
          <w:trHeight w:val="55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1 06 01000 00 0000 110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485 000,00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536 763,65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110,7%</w:t>
            </w:r>
          </w:p>
        </w:tc>
      </w:tr>
      <w:tr w:rsidR="008E5312" w:rsidRPr="008E5312" w:rsidTr="008E5312">
        <w:trPr>
          <w:trHeight w:val="156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1 06 01030 10 1000 110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531 175,74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2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1 06 01030 10 2100 110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5 587,91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3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Земельный налог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1 06 06000 00 0000 110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3 304 000,00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3 171 064,68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96,0%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2 830 000,00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0,0%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2 703 594,31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6 755,87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14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1 06 06033 10 3000 110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1 06 06043 10 0000 110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474 000,00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1 06 06043 10 1000 110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451 790,44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1 06 06043 10 2100 110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8 924,06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3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9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1 08 04000 01 0000 110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15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(прочие поступления)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1 08 04020 01 1000 110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2 400,00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1 300,00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54,2%</w:t>
            </w:r>
          </w:p>
        </w:tc>
      </w:tr>
      <w:tr w:rsidR="008E5312" w:rsidRPr="008E5312" w:rsidTr="008E5312">
        <w:trPr>
          <w:trHeight w:val="111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 1 11 00000 00 0000 000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295 616,00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302 169,33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102,2%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1 11 05035 10 0000 120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141 440,00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120 186,64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85,0%</w:t>
            </w:r>
          </w:p>
        </w:tc>
      </w:tr>
      <w:tr w:rsidR="008E5312" w:rsidRPr="008E5312" w:rsidTr="008E5312">
        <w:trPr>
          <w:trHeight w:val="18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1 11 09000 00 0000 120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18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1 11 09040 00 0000 120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15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1 11 09045 10 0000 120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154 176,00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181 982,69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118,0%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117 00000 00 0000 000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Средства самообложения граждан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1 17 14000 00 0000 150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1 17 14030 10 0000 150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188 150,00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х</w:t>
            </w:r>
          </w:p>
        </w:tc>
      </w:tr>
      <w:tr w:rsidR="008E5312" w:rsidRPr="008E5312" w:rsidTr="008E5312">
        <w:trPr>
          <w:trHeight w:val="45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1 828 527,15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1 828 527,15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12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1 906 410,91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1 906 410,91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6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Дотации бюджета субъектов Российской Федерации и муниципальных образований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2 02 01000 00 0000 150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31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Дотации на выравнивание бюджетной обеспеченности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202 01001 00 0000 150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64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Дотации бюджетам поселений на выравнивание бюджетной обеспеченности 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2 02 16001 10 0000 150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390 503,00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75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2 02 03000 00 0000 000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2 02 03015 00 0000 150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2 02 35118 10 0000 150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40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2 02 40000 00 0000 150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3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2 02 45160 00 0000 150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20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2 02 45160 10 0000 150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1 418 535,91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1140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62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2 19 00000 00 0000 000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97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62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2 19 60010 10 0000 150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-77 883,76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100,0%</w:t>
            </w:r>
          </w:p>
        </w:tc>
      </w:tr>
      <w:tr w:rsidR="008E5312" w:rsidRPr="008E5312" w:rsidTr="008E5312">
        <w:trPr>
          <w:trHeight w:val="435"/>
        </w:trPr>
        <w:tc>
          <w:tcPr>
            <w:tcW w:w="4381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62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2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50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6 702 193,15</w:t>
            </w:r>
          </w:p>
        </w:tc>
        <w:tc>
          <w:tcPr>
            <w:tcW w:w="156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6 628 534,57</w:t>
            </w:r>
          </w:p>
        </w:tc>
        <w:tc>
          <w:tcPr>
            <w:tcW w:w="86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98,9%</w:t>
            </w:r>
          </w:p>
        </w:tc>
      </w:tr>
    </w:tbl>
    <w:p w:rsidR="008E5312" w:rsidRDefault="008E5312" w:rsidP="006D31C1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p w:rsidR="008E5312" w:rsidRDefault="008E531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19"/>
        <w:gridCol w:w="617"/>
        <w:gridCol w:w="502"/>
        <w:gridCol w:w="938"/>
        <w:gridCol w:w="686"/>
        <w:gridCol w:w="633"/>
        <w:gridCol w:w="1414"/>
        <w:gridCol w:w="1374"/>
        <w:gridCol w:w="790"/>
        <w:gridCol w:w="36"/>
      </w:tblGrid>
      <w:tr w:rsidR="008E5312" w:rsidRPr="008E5312" w:rsidTr="00724E61">
        <w:trPr>
          <w:trHeight w:val="300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3" w:name="RANGE!A1:I198"/>
            <w:bookmarkEnd w:id="3"/>
          </w:p>
        </w:tc>
        <w:tc>
          <w:tcPr>
            <w:tcW w:w="69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Приложение № 3</w:t>
            </w:r>
          </w:p>
        </w:tc>
      </w:tr>
      <w:tr w:rsidR="008E5312" w:rsidRPr="008E5312" w:rsidTr="00724E61">
        <w:trPr>
          <w:trHeight w:val="1383"/>
        </w:trPr>
        <w:tc>
          <w:tcPr>
            <w:tcW w:w="3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990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</w:t>
            </w:r>
            <w:r>
              <w:rPr>
                <w:bCs/>
                <w:sz w:val="22"/>
                <w:szCs w:val="22"/>
              </w:rPr>
              <w:t>рстан на 2020 год</w:t>
            </w:r>
            <w:r w:rsidR="00F96BB8">
              <w:rPr>
                <w:bCs/>
                <w:sz w:val="22"/>
                <w:szCs w:val="22"/>
              </w:rPr>
              <w:t xml:space="preserve"> от 31.05.2021г. №39</w:t>
            </w:r>
            <w:r>
              <w:rPr>
                <w:bCs/>
                <w:sz w:val="22"/>
                <w:szCs w:val="22"/>
              </w:rPr>
              <w:t xml:space="preserve">     </w:t>
            </w:r>
            <w:r>
              <w:rPr>
                <w:bCs/>
                <w:sz w:val="22"/>
                <w:szCs w:val="22"/>
              </w:rPr>
              <w:br/>
              <w:t xml:space="preserve"> </w:t>
            </w:r>
            <w:r w:rsidRPr="008E5312">
              <w:rPr>
                <w:bCs/>
                <w:sz w:val="22"/>
                <w:szCs w:val="22"/>
              </w:rPr>
              <w:t xml:space="preserve">    </w:t>
            </w:r>
          </w:p>
        </w:tc>
      </w:tr>
      <w:tr w:rsidR="008E5312" w:rsidRPr="008E5312" w:rsidTr="00724E61">
        <w:trPr>
          <w:trHeight w:val="866"/>
        </w:trPr>
        <w:tc>
          <w:tcPr>
            <w:tcW w:w="10309" w:type="dxa"/>
            <w:gridSpan w:val="10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Распределение  бюджетных ассигнований по разделам, подразделам, целевым статьям и группам видов расходов классификации расходов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8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33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1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7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8E5312" w:rsidRPr="008E5312" w:rsidTr="00724E61">
        <w:trPr>
          <w:gridAfter w:val="1"/>
          <w:wAfter w:w="36" w:type="dxa"/>
          <w:trHeight w:val="855"/>
        </w:trPr>
        <w:tc>
          <w:tcPr>
            <w:tcW w:w="3319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7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02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938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686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33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414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Уточненный бюджет</w:t>
            </w:r>
          </w:p>
        </w:tc>
        <w:tc>
          <w:tcPr>
            <w:tcW w:w="1374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Исполнение</w:t>
            </w:r>
          </w:p>
        </w:tc>
        <w:tc>
          <w:tcPr>
            <w:tcW w:w="790" w:type="dxa"/>
            <w:hideMark/>
          </w:tcPr>
          <w:p w:rsidR="008E5312" w:rsidRPr="008E5312" w:rsidRDefault="008E5312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2 998 825,78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2 907 686,74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130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99,3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Центральный аппарат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92,8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651 294,21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623 902,00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95,8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гос-ударственных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462 027,45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408 075,02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88,3</w:t>
            </w:r>
          </w:p>
        </w:tc>
      </w:tr>
      <w:tr w:rsidR="008E5312" w:rsidRPr="008E5312" w:rsidTr="00724E61">
        <w:trPr>
          <w:gridAfter w:val="1"/>
          <w:wAfter w:w="36" w:type="dxa"/>
          <w:trHeight w:val="3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4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1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Выборы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Другие общегосударственные вопросы 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808 914,00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805 890,00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99,6</w:t>
            </w:r>
          </w:p>
        </w:tc>
      </w:tr>
      <w:tr w:rsidR="008E5312" w:rsidRPr="008E5312" w:rsidTr="00724E61">
        <w:trPr>
          <w:gridAfter w:val="1"/>
          <w:wAfter w:w="36" w:type="dxa"/>
          <w:trHeight w:val="99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19 0 01 21910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2 255,00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752,00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33,3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786 659,00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785 138,00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99,8</w:t>
            </w:r>
          </w:p>
        </w:tc>
      </w:tr>
      <w:tr w:rsidR="008E5312" w:rsidRPr="008E5312" w:rsidTr="00724E61">
        <w:trPr>
          <w:gridAfter w:val="1"/>
          <w:wAfter w:w="36" w:type="dxa"/>
          <w:trHeight w:val="49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99,1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99,1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8E5312">
              <w:rPr>
                <w:bCs/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01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46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2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99,7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землеустройству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по землеустройству и землепользованию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16 0 01 73440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16 0 01 73440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#ДЕЛ/0!</w:t>
            </w:r>
          </w:p>
        </w:tc>
      </w:tr>
      <w:tr w:rsidR="008E5312" w:rsidRPr="008E5312" w:rsidTr="00724E61">
        <w:trPr>
          <w:gridAfter w:val="1"/>
          <w:wAfter w:w="36" w:type="dxa"/>
          <w:trHeight w:val="36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1 625 684,81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71,2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9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79,4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79,4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33,5</w:t>
            </w:r>
          </w:p>
        </w:tc>
      </w:tr>
      <w:tr w:rsidR="008E5312" w:rsidRPr="008E5312" w:rsidTr="00724E61">
        <w:trPr>
          <w:gridAfter w:val="1"/>
          <w:wAfter w:w="36" w:type="dxa"/>
          <w:trHeight w:val="600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33,5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124 987,00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124 987,00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151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100,0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7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02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8E5312">
              <w:rPr>
                <w:bCs/>
                <w:sz w:val="22"/>
                <w:szCs w:val="22"/>
              </w:rPr>
              <w:t> </w:t>
            </w:r>
          </w:p>
        </w:tc>
      </w:tr>
      <w:tr w:rsidR="008E5312" w:rsidRPr="008E5312" w:rsidTr="00724E61">
        <w:trPr>
          <w:gridAfter w:val="1"/>
          <w:wAfter w:w="36" w:type="dxa"/>
          <w:trHeight w:val="375"/>
        </w:trPr>
        <w:tc>
          <w:tcPr>
            <w:tcW w:w="3319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17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02" w:type="dxa"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8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33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7 206 602,20</w:t>
            </w:r>
          </w:p>
        </w:tc>
        <w:tc>
          <w:tcPr>
            <w:tcW w:w="1374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6 643 080,39</w:t>
            </w:r>
          </w:p>
        </w:tc>
        <w:tc>
          <w:tcPr>
            <w:tcW w:w="790" w:type="dxa"/>
            <w:noWrap/>
            <w:hideMark/>
          </w:tcPr>
          <w:p w:rsidR="008E5312" w:rsidRPr="008E5312" w:rsidRDefault="008E5312" w:rsidP="008E5312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8E5312">
              <w:rPr>
                <w:b/>
                <w:bCs/>
                <w:sz w:val="22"/>
                <w:szCs w:val="22"/>
              </w:rPr>
              <w:t>92,2</w:t>
            </w:r>
          </w:p>
        </w:tc>
      </w:tr>
    </w:tbl>
    <w:p w:rsidR="00724E61" w:rsidRDefault="00724E61" w:rsidP="006D31C1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p w:rsidR="00724E61" w:rsidRDefault="00724E6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41"/>
        <w:gridCol w:w="611"/>
        <w:gridCol w:w="567"/>
        <w:gridCol w:w="492"/>
        <w:gridCol w:w="1067"/>
        <w:gridCol w:w="567"/>
        <w:gridCol w:w="619"/>
        <w:gridCol w:w="1373"/>
        <w:gridCol w:w="1347"/>
        <w:gridCol w:w="610"/>
        <w:gridCol w:w="57"/>
      </w:tblGrid>
      <w:tr w:rsidR="00724E61" w:rsidRPr="00724E61" w:rsidTr="00724E61">
        <w:trPr>
          <w:trHeight w:val="315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bookmarkStart w:id="4" w:name="RANGE!A1:J196"/>
            <w:bookmarkEnd w:id="4"/>
          </w:p>
        </w:tc>
        <w:tc>
          <w:tcPr>
            <w:tcW w:w="731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Приложение № 4</w:t>
            </w:r>
          </w:p>
        </w:tc>
      </w:tr>
      <w:tr w:rsidR="00724E61" w:rsidRPr="00724E61" w:rsidTr="00724E61">
        <w:trPr>
          <w:trHeight w:val="1212"/>
        </w:trPr>
        <w:tc>
          <w:tcPr>
            <w:tcW w:w="304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310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 Решению Совета Раифского сельского поселения Зеленодольского муниципального района Республики Татарстан «Об исполнении бюджета муниципального образования "Раифское сельское поселение" Зеленодольского муниципального района Республики Тата</w:t>
            </w:r>
            <w:r>
              <w:rPr>
                <w:bCs/>
                <w:sz w:val="22"/>
                <w:szCs w:val="22"/>
              </w:rPr>
              <w:t>рстан на 2020 год</w:t>
            </w:r>
            <w:r w:rsidR="00C70CCA">
              <w:rPr>
                <w:bCs/>
                <w:sz w:val="22"/>
                <w:szCs w:val="22"/>
              </w:rPr>
              <w:t xml:space="preserve"> от</w:t>
            </w:r>
            <w:r w:rsidR="00F96BB8">
              <w:rPr>
                <w:bCs/>
                <w:sz w:val="22"/>
                <w:szCs w:val="22"/>
              </w:rPr>
              <w:t xml:space="preserve"> 31.05.2021г. №39</w:t>
            </w:r>
            <w:r w:rsidR="00C70CC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      </w:t>
            </w:r>
            <w:r w:rsidRPr="00724E61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724E61" w:rsidRPr="00724E61" w:rsidTr="00724E61">
        <w:trPr>
          <w:trHeight w:val="650"/>
        </w:trPr>
        <w:tc>
          <w:tcPr>
            <w:tcW w:w="10351" w:type="dxa"/>
            <w:gridSpan w:val="11"/>
            <w:tcBorders>
              <w:top w:val="nil"/>
            </w:tcBorders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Ведомственная структура расходов бюджета муниципального образования "Раифское сельское поселение" Зеленодольского муниципального района Республики Татарстан на 2020 год</w:t>
            </w:r>
          </w:p>
        </w:tc>
      </w:tr>
      <w:tr w:rsidR="00724E61" w:rsidRPr="00724E61" w:rsidTr="00724E61">
        <w:trPr>
          <w:gridAfter w:val="1"/>
          <w:wAfter w:w="57" w:type="dxa"/>
          <w:trHeight w:val="3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</w:p>
        </w:tc>
      </w:tr>
      <w:tr w:rsidR="00724E61" w:rsidRPr="00724E61" w:rsidTr="00724E61">
        <w:trPr>
          <w:gridAfter w:val="1"/>
          <w:wAfter w:w="57" w:type="dxa"/>
          <w:trHeight w:val="85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Вед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ДКР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Уточненный бюджет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Исполнение</w:t>
            </w:r>
          </w:p>
        </w:tc>
        <w:tc>
          <w:tcPr>
            <w:tcW w:w="610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% исполнения</w:t>
            </w:r>
          </w:p>
        </w:tc>
      </w:tr>
      <w:tr w:rsidR="00724E61" w:rsidRPr="00724E61" w:rsidTr="00724E61">
        <w:trPr>
          <w:gridAfter w:val="1"/>
          <w:wAfter w:w="57" w:type="dxa"/>
          <w:trHeight w:val="69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Совет Раифского сельского поселения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1 019 005,64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1 012 235,24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1 019 005,64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1 012 235,24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12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1 012 745,60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1 005 975,20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99,3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6 260,04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6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Исполнительный комитет Раифского сельского поселения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6 187 596,56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5 630 845,15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91,0</w:t>
            </w:r>
          </w:p>
        </w:tc>
      </w:tr>
      <w:tr w:rsidR="00724E61" w:rsidRPr="00724E61" w:rsidTr="00724E61">
        <w:trPr>
          <w:gridAfter w:val="1"/>
          <w:wAfter w:w="57" w:type="dxa"/>
          <w:trHeight w:val="3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1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1 979 820,14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1 895 451,50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95,7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724E61">
              <w:rPr>
                <w:bCs/>
                <w:sz w:val="22"/>
                <w:szCs w:val="22"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872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1 125 609,15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1 044 264,51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92,8</w:t>
            </w:r>
          </w:p>
        </w:tc>
      </w:tr>
      <w:tr w:rsidR="00724E61" w:rsidRPr="00724E61" w:rsidTr="00724E61">
        <w:trPr>
          <w:gridAfter w:val="1"/>
          <w:wAfter w:w="57" w:type="dxa"/>
          <w:trHeight w:val="12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651 294,21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623 902,00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95,8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462 027,45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408 075,02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88,3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12 287,49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12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06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3 640,00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Выборы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07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41 656,99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808 914,00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805 890,00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99,6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Мероприятия по развитию государственной гражданской службы Республики Татарстан и муниципальной службы в Республике Татарстан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99 0 00 9241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2 255,00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752,00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33,3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786 659,00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785 138,00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99,8</w:t>
            </w:r>
          </w:p>
        </w:tc>
      </w:tr>
      <w:tr w:rsidR="00724E61" w:rsidRPr="00724E61" w:rsidTr="00724E61">
        <w:trPr>
          <w:gridAfter w:val="1"/>
          <w:wAfter w:w="57" w:type="dxa"/>
          <w:trHeight w:val="64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99,1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167 423,00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165 902,00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99,1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гос-ударственных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99 0 00 02990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619 236,00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860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99 0 00 03050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20 000,00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20 000,00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97 372,00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Строительство, содержание и ремонт автомобильных дорог и инженерных сооружений на них в рамках благоустройства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67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04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09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99 0 00 78020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1 212 898,61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1 209 148,61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99,7</w:t>
            </w:r>
          </w:p>
        </w:tc>
      </w:tr>
      <w:tr w:rsidR="00724E61" w:rsidRPr="00724E61" w:rsidTr="00724E61">
        <w:trPr>
          <w:gridAfter w:val="1"/>
          <w:wAfter w:w="57" w:type="dxa"/>
          <w:trHeight w:val="54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1 625 684,81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71,2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9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Капитальный ремонт жилищного фонда, не включенный в состав Республиканской программы по капитальному ремонту многоквартирных домов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99 0 00 76030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159 136,00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02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99 0 00 75050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9 108,16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1 457 440,65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1 157 052,04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79,4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60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99 0 00 78010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1 005 463,69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33,5</w:t>
            </w:r>
          </w:p>
        </w:tc>
      </w:tr>
      <w:tr w:rsidR="00724E61" w:rsidRPr="00724E61" w:rsidTr="00724E61">
        <w:trPr>
          <w:gridAfter w:val="1"/>
          <w:wAfter w:w="57" w:type="dxa"/>
          <w:trHeight w:val="63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05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99 0 00 78050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451 976,96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151 588,35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33,5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Культура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1140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872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08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99 0 00 25600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500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134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1 271 821,00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100,0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Cs/>
                <w:sz w:val="22"/>
                <w:szCs w:val="22"/>
              </w:rPr>
            </w:pPr>
            <w:r w:rsidRPr="00724E61">
              <w:rPr>
                <w:bCs/>
                <w:sz w:val="22"/>
                <w:szCs w:val="22"/>
              </w:rPr>
              <w:t> </w:t>
            </w:r>
          </w:p>
        </w:tc>
      </w:tr>
      <w:tr w:rsidR="00724E61" w:rsidRPr="00724E61" w:rsidTr="00724E61">
        <w:trPr>
          <w:gridAfter w:val="1"/>
          <w:wAfter w:w="57" w:type="dxa"/>
          <w:trHeight w:val="315"/>
        </w:trPr>
        <w:tc>
          <w:tcPr>
            <w:tcW w:w="3041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611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92" w:type="dxa"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19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373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7 206 602,20</w:t>
            </w:r>
          </w:p>
        </w:tc>
        <w:tc>
          <w:tcPr>
            <w:tcW w:w="1347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6 643 080,39</w:t>
            </w:r>
          </w:p>
        </w:tc>
        <w:tc>
          <w:tcPr>
            <w:tcW w:w="610" w:type="dxa"/>
            <w:noWrap/>
            <w:hideMark/>
          </w:tcPr>
          <w:p w:rsidR="00724E61" w:rsidRPr="00724E61" w:rsidRDefault="00724E61" w:rsidP="00724E61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24E61">
              <w:rPr>
                <w:b/>
                <w:bCs/>
                <w:sz w:val="22"/>
                <w:szCs w:val="22"/>
              </w:rPr>
              <w:t>92,2</w:t>
            </w:r>
          </w:p>
        </w:tc>
      </w:tr>
    </w:tbl>
    <w:p w:rsidR="0028335A" w:rsidRPr="008E5312" w:rsidRDefault="0028335A" w:rsidP="00C70CCA">
      <w:pPr>
        <w:autoSpaceDE w:val="0"/>
        <w:autoSpaceDN w:val="0"/>
        <w:adjustRightInd w:val="0"/>
        <w:contextualSpacing/>
        <w:jc w:val="both"/>
        <w:rPr>
          <w:bCs/>
          <w:sz w:val="22"/>
          <w:szCs w:val="22"/>
        </w:rPr>
      </w:pPr>
    </w:p>
    <w:sectPr w:rsidR="0028335A" w:rsidRPr="008E5312" w:rsidSect="00EF71FA">
      <w:headerReference w:type="even" r:id="rId9"/>
      <w:pgSz w:w="11906" w:h="16838"/>
      <w:pgMar w:top="993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8C" w:rsidRDefault="005A3A8C">
      <w:r>
        <w:separator/>
      </w:r>
    </w:p>
  </w:endnote>
  <w:endnote w:type="continuationSeparator" w:id="0">
    <w:p w:rsidR="005A3A8C" w:rsidRDefault="005A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8C" w:rsidRDefault="005A3A8C">
      <w:r>
        <w:separator/>
      </w:r>
    </w:p>
  </w:footnote>
  <w:footnote w:type="continuationSeparator" w:id="0">
    <w:p w:rsidR="005A3A8C" w:rsidRDefault="005A3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5" w:rsidRDefault="00882B65" w:rsidP="00CC097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82B65" w:rsidRDefault="00882B6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C1B4D"/>
    <w:multiLevelType w:val="hybridMultilevel"/>
    <w:tmpl w:val="69D68D04"/>
    <w:lvl w:ilvl="0" w:tplc="1C624D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2D37FB7"/>
    <w:multiLevelType w:val="hybridMultilevel"/>
    <w:tmpl w:val="9F6A4922"/>
    <w:lvl w:ilvl="0" w:tplc="FC3C2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728D6BB4"/>
    <w:multiLevelType w:val="hybridMultilevel"/>
    <w:tmpl w:val="63787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02414B"/>
    <w:multiLevelType w:val="multilevel"/>
    <w:tmpl w:val="F99698AC"/>
    <w:lvl w:ilvl="0">
      <w:start w:val="1"/>
      <w:numFmt w:val="decimal"/>
      <w:lvlText w:val="%1."/>
      <w:lvlJc w:val="left"/>
      <w:pPr>
        <w:ind w:left="184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4" w15:restartNumberingAfterBreak="0">
    <w:nsid w:val="7DF60C8A"/>
    <w:multiLevelType w:val="hybridMultilevel"/>
    <w:tmpl w:val="D8C21668"/>
    <w:lvl w:ilvl="0" w:tplc="32F2FF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1914"/>
    <w:rsid w:val="0000195A"/>
    <w:rsid w:val="00006174"/>
    <w:rsid w:val="00027403"/>
    <w:rsid w:val="000279BF"/>
    <w:rsid w:val="00037F38"/>
    <w:rsid w:val="00046542"/>
    <w:rsid w:val="000504DB"/>
    <w:rsid w:val="00051914"/>
    <w:rsid w:val="00053268"/>
    <w:rsid w:val="00061E4A"/>
    <w:rsid w:val="000720E4"/>
    <w:rsid w:val="000762F9"/>
    <w:rsid w:val="0008064F"/>
    <w:rsid w:val="0008730F"/>
    <w:rsid w:val="00090410"/>
    <w:rsid w:val="000946C8"/>
    <w:rsid w:val="00094B0E"/>
    <w:rsid w:val="000A183C"/>
    <w:rsid w:val="000A4385"/>
    <w:rsid w:val="000A5328"/>
    <w:rsid w:val="000B2B36"/>
    <w:rsid w:val="000B5C3B"/>
    <w:rsid w:val="000B6071"/>
    <w:rsid w:val="000C062C"/>
    <w:rsid w:val="000C3302"/>
    <w:rsid w:val="000C4783"/>
    <w:rsid w:val="000C6DC6"/>
    <w:rsid w:val="000D1BB9"/>
    <w:rsid w:val="000D2DEB"/>
    <w:rsid w:val="000D3420"/>
    <w:rsid w:val="000D49A5"/>
    <w:rsid w:val="000E4376"/>
    <w:rsid w:val="000F2516"/>
    <w:rsid w:val="00102386"/>
    <w:rsid w:val="0012605E"/>
    <w:rsid w:val="001346A5"/>
    <w:rsid w:val="00136369"/>
    <w:rsid w:val="001425DA"/>
    <w:rsid w:val="00144D1B"/>
    <w:rsid w:val="001537F2"/>
    <w:rsid w:val="00157295"/>
    <w:rsid w:val="001572D5"/>
    <w:rsid w:val="00161964"/>
    <w:rsid w:val="0016715A"/>
    <w:rsid w:val="001718A6"/>
    <w:rsid w:val="00184D0C"/>
    <w:rsid w:val="00195D0B"/>
    <w:rsid w:val="001A107A"/>
    <w:rsid w:val="001A48CE"/>
    <w:rsid w:val="001A7A29"/>
    <w:rsid w:val="001B24AE"/>
    <w:rsid w:val="001B299E"/>
    <w:rsid w:val="001B4B40"/>
    <w:rsid w:val="001B5249"/>
    <w:rsid w:val="001E266B"/>
    <w:rsid w:val="001E74DC"/>
    <w:rsid w:val="001E7B25"/>
    <w:rsid w:val="00203DE0"/>
    <w:rsid w:val="002078B1"/>
    <w:rsid w:val="00214340"/>
    <w:rsid w:val="00215B03"/>
    <w:rsid w:val="00231341"/>
    <w:rsid w:val="00236E24"/>
    <w:rsid w:val="00240E76"/>
    <w:rsid w:val="00252FEA"/>
    <w:rsid w:val="00255F99"/>
    <w:rsid w:val="00261F18"/>
    <w:rsid w:val="0026628B"/>
    <w:rsid w:val="002679FA"/>
    <w:rsid w:val="00277FE0"/>
    <w:rsid w:val="0028202E"/>
    <w:rsid w:val="0028335A"/>
    <w:rsid w:val="00284998"/>
    <w:rsid w:val="002A0706"/>
    <w:rsid w:val="002A7F4B"/>
    <w:rsid w:val="002B0FCC"/>
    <w:rsid w:val="002B3FCD"/>
    <w:rsid w:val="002B441B"/>
    <w:rsid w:val="002B7B31"/>
    <w:rsid w:val="002C5778"/>
    <w:rsid w:val="002D16D0"/>
    <w:rsid w:val="002D4E6E"/>
    <w:rsid w:val="002D7266"/>
    <w:rsid w:val="002E7710"/>
    <w:rsid w:val="002F1D3B"/>
    <w:rsid w:val="002F2053"/>
    <w:rsid w:val="00314E4F"/>
    <w:rsid w:val="0032460A"/>
    <w:rsid w:val="00324F6B"/>
    <w:rsid w:val="00327B05"/>
    <w:rsid w:val="003317B8"/>
    <w:rsid w:val="0033720F"/>
    <w:rsid w:val="0034075D"/>
    <w:rsid w:val="00360E82"/>
    <w:rsid w:val="003643A7"/>
    <w:rsid w:val="003709E9"/>
    <w:rsid w:val="00374697"/>
    <w:rsid w:val="0037793D"/>
    <w:rsid w:val="0038236F"/>
    <w:rsid w:val="00383B97"/>
    <w:rsid w:val="00387B52"/>
    <w:rsid w:val="003930F8"/>
    <w:rsid w:val="00395D63"/>
    <w:rsid w:val="003B01DD"/>
    <w:rsid w:val="003B1917"/>
    <w:rsid w:val="003C6922"/>
    <w:rsid w:val="003D2ED2"/>
    <w:rsid w:val="003E236F"/>
    <w:rsid w:val="003E5482"/>
    <w:rsid w:val="003E6C72"/>
    <w:rsid w:val="003F0A10"/>
    <w:rsid w:val="003F10AE"/>
    <w:rsid w:val="003F18D7"/>
    <w:rsid w:val="003F1FA5"/>
    <w:rsid w:val="003F31D2"/>
    <w:rsid w:val="004213DA"/>
    <w:rsid w:val="004236CC"/>
    <w:rsid w:val="004269DA"/>
    <w:rsid w:val="00450BBF"/>
    <w:rsid w:val="004614ED"/>
    <w:rsid w:val="00462FAF"/>
    <w:rsid w:val="004712AE"/>
    <w:rsid w:val="00472B8F"/>
    <w:rsid w:val="004752A4"/>
    <w:rsid w:val="00481123"/>
    <w:rsid w:val="00483CF0"/>
    <w:rsid w:val="00486A47"/>
    <w:rsid w:val="00487167"/>
    <w:rsid w:val="00487D66"/>
    <w:rsid w:val="0049180C"/>
    <w:rsid w:val="00493FA7"/>
    <w:rsid w:val="00496E92"/>
    <w:rsid w:val="004A43E8"/>
    <w:rsid w:val="004C066D"/>
    <w:rsid w:val="004C494E"/>
    <w:rsid w:val="004C514B"/>
    <w:rsid w:val="004C7C02"/>
    <w:rsid w:val="004C7C6D"/>
    <w:rsid w:val="004D1AE9"/>
    <w:rsid w:val="004D3549"/>
    <w:rsid w:val="004D6A09"/>
    <w:rsid w:val="004D6DF4"/>
    <w:rsid w:val="004D7DFB"/>
    <w:rsid w:val="004F4789"/>
    <w:rsid w:val="00501006"/>
    <w:rsid w:val="00501E8B"/>
    <w:rsid w:val="00503DB3"/>
    <w:rsid w:val="00504EAF"/>
    <w:rsid w:val="00517F7E"/>
    <w:rsid w:val="00523B56"/>
    <w:rsid w:val="005365B7"/>
    <w:rsid w:val="00542377"/>
    <w:rsid w:val="005526F5"/>
    <w:rsid w:val="00553197"/>
    <w:rsid w:val="00554455"/>
    <w:rsid w:val="00557F71"/>
    <w:rsid w:val="00565E77"/>
    <w:rsid w:val="00567FFD"/>
    <w:rsid w:val="00572A69"/>
    <w:rsid w:val="00573474"/>
    <w:rsid w:val="0057667A"/>
    <w:rsid w:val="005810B7"/>
    <w:rsid w:val="00583FF8"/>
    <w:rsid w:val="00590337"/>
    <w:rsid w:val="00594867"/>
    <w:rsid w:val="005A117D"/>
    <w:rsid w:val="005A1DD8"/>
    <w:rsid w:val="005A3A8C"/>
    <w:rsid w:val="005B075A"/>
    <w:rsid w:val="005C3A45"/>
    <w:rsid w:val="005D64B6"/>
    <w:rsid w:val="005E25ED"/>
    <w:rsid w:val="005E6403"/>
    <w:rsid w:val="005E67B8"/>
    <w:rsid w:val="00604623"/>
    <w:rsid w:val="00624617"/>
    <w:rsid w:val="006340D9"/>
    <w:rsid w:val="0063639F"/>
    <w:rsid w:val="006415BD"/>
    <w:rsid w:val="006437F3"/>
    <w:rsid w:val="00646116"/>
    <w:rsid w:val="00646A4C"/>
    <w:rsid w:val="0065435E"/>
    <w:rsid w:val="00663F3D"/>
    <w:rsid w:val="00664BC9"/>
    <w:rsid w:val="00664DF4"/>
    <w:rsid w:val="00670D56"/>
    <w:rsid w:val="0067264C"/>
    <w:rsid w:val="0067514E"/>
    <w:rsid w:val="006766F3"/>
    <w:rsid w:val="0068038E"/>
    <w:rsid w:val="00682047"/>
    <w:rsid w:val="0068583C"/>
    <w:rsid w:val="00695C02"/>
    <w:rsid w:val="006965CA"/>
    <w:rsid w:val="00697614"/>
    <w:rsid w:val="00697AF8"/>
    <w:rsid w:val="006A51C0"/>
    <w:rsid w:val="006B2290"/>
    <w:rsid w:val="006B3517"/>
    <w:rsid w:val="006B3FD5"/>
    <w:rsid w:val="006B6075"/>
    <w:rsid w:val="006C25A9"/>
    <w:rsid w:val="006C76DC"/>
    <w:rsid w:val="006D15F3"/>
    <w:rsid w:val="006D1B8B"/>
    <w:rsid w:val="006D31C1"/>
    <w:rsid w:val="006F0688"/>
    <w:rsid w:val="006F071A"/>
    <w:rsid w:val="006F64A5"/>
    <w:rsid w:val="00700E63"/>
    <w:rsid w:val="00701E35"/>
    <w:rsid w:val="007127CD"/>
    <w:rsid w:val="00714A0F"/>
    <w:rsid w:val="00714FE1"/>
    <w:rsid w:val="0072150D"/>
    <w:rsid w:val="007223E4"/>
    <w:rsid w:val="0072362C"/>
    <w:rsid w:val="0072393C"/>
    <w:rsid w:val="00723F50"/>
    <w:rsid w:val="00724E61"/>
    <w:rsid w:val="007338E7"/>
    <w:rsid w:val="00742C49"/>
    <w:rsid w:val="007505A9"/>
    <w:rsid w:val="00750D74"/>
    <w:rsid w:val="00753A26"/>
    <w:rsid w:val="007569AE"/>
    <w:rsid w:val="00762C8F"/>
    <w:rsid w:val="0077746A"/>
    <w:rsid w:val="00783770"/>
    <w:rsid w:val="0078535F"/>
    <w:rsid w:val="007861A3"/>
    <w:rsid w:val="00787CB1"/>
    <w:rsid w:val="00794003"/>
    <w:rsid w:val="00794475"/>
    <w:rsid w:val="007A305E"/>
    <w:rsid w:val="007B3D39"/>
    <w:rsid w:val="007B7811"/>
    <w:rsid w:val="007C62E0"/>
    <w:rsid w:val="007D1A57"/>
    <w:rsid w:val="007D34CE"/>
    <w:rsid w:val="007D6FDA"/>
    <w:rsid w:val="007E0CC9"/>
    <w:rsid w:val="007F488E"/>
    <w:rsid w:val="00801F37"/>
    <w:rsid w:val="00807553"/>
    <w:rsid w:val="00807FB4"/>
    <w:rsid w:val="00817331"/>
    <w:rsid w:val="00824919"/>
    <w:rsid w:val="0083552E"/>
    <w:rsid w:val="00836371"/>
    <w:rsid w:val="00840DFF"/>
    <w:rsid w:val="008446CC"/>
    <w:rsid w:val="00845242"/>
    <w:rsid w:val="00846320"/>
    <w:rsid w:val="008467EE"/>
    <w:rsid w:val="00852B91"/>
    <w:rsid w:val="00866A27"/>
    <w:rsid w:val="00873585"/>
    <w:rsid w:val="00882B65"/>
    <w:rsid w:val="008831E6"/>
    <w:rsid w:val="00883E55"/>
    <w:rsid w:val="00886742"/>
    <w:rsid w:val="00892054"/>
    <w:rsid w:val="008930DC"/>
    <w:rsid w:val="00895A89"/>
    <w:rsid w:val="008967A5"/>
    <w:rsid w:val="008A561E"/>
    <w:rsid w:val="008B2031"/>
    <w:rsid w:val="008B20EA"/>
    <w:rsid w:val="008B231D"/>
    <w:rsid w:val="008C21E4"/>
    <w:rsid w:val="008C5BF5"/>
    <w:rsid w:val="008D51C1"/>
    <w:rsid w:val="008D62BC"/>
    <w:rsid w:val="008E5312"/>
    <w:rsid w:val="008E5CDD"/>
    <w:rsid w:val="008F6AF4"/>
    <w:rsid w:val="0090267F"/>
    <w:rsid w:val="009075D2"/>
    <w:rsid w:val="0091092E"/>
    <w:rsid w:val="009135C7"/>
    <w:rsid w:val="0091408F"/>
    <w:rsid w:val="00915999"/>
    <w:rsid w:val="00920163"/>
    <w:rsid w:val="00935AB0"/>
    <w:rsid w:val="009509AE"/>
    <w:rsid w:val="00951564"/>
    <w:rsid w:val="00951A15"/>
    <w:rsid w:val="00962E6F"/>
    <w:rsid w:val="00971AC7"/>
    <w:rsid w:val="00971B16"/>
    <w:rsid w:val="009900D7"/>
    <w:rsid w:val="00992208"/>
    <w:rsid w:val="009A5EE1"/>
    <w:rsid w:val="009B4C97"/>
    <w:rsid w:val="009C2511"/>
    <w:rsid w:val="009C4011"/>
    <w:rsid w:val="009D0D8B"/>
    <w:rsid w:val="009E53D6"/>
    <w:rsid w:val="009F012F"/>
    <w:rsid w:val="009F3B55"/>
    <w:rsid w:val="009F4490"/>
    <w:rsid w:val="00A025F9"/>
    <w:rsid w:val="00A03C74"/>
    <w:rsid w:val="00A04F6C"/>
    <w:rsid w:val="00A054C2"/>
    <w:rsid w:val="00A065C0"/>
    <w:rsid w:val="00A11CEE"/>
    <w:rsid w:val="00A2231F"/>
    <w:rsid w:val="00A23FA0"/>
    <w:rsid w:val="00A25B2F"/>
    <w:rsid w:val="00A54B47"/>
    <w:rsid w:val="00A70EC5"/>
    <w:rsid w:val="00A73F14"/>
    <w:rsid w:val="00A860E5"/>
    <w:rsid w:val="00A91310"/>
    <w:rsid w:val="00A919B5"/>
    <w:rsid w:val="00A968FC"/>
    <w:rsid w:val="00AC125D"/>
    <w:rsid w:val="00AC6521"/>
    <w:rsid w:val="00AD0900"/>
    <w:rsid w:val="00AE75FC"/>
    <w:rsid w:val="00AF1D21"/>
    <w:rsid w:val="00AF4E64"/>
    <w:rsid w:val="00AF566F"/>
    <w:rsid w:val="00AF7111"/>
    <w:rsid w:val="00B00482"/>
    <w:rsid w:val="00B035B5"/>
    <w:rsid w:val="00B047DE"/>
    <w:rsid w:val="00B21B25"/>
    <w:rsid w:val="00B30615"/>
    <w:rsid w:val="00B36C3F"/>
    <w:rsid w:val="00B42E6E"/>
    <w:rsid w:val="00B5701D"/>
    <w:rsid w:val="00B63D8E"/>
    <w:rsid w:val="00B72268"/>
    <w:rsid w:val="00B72D6F"/>
    <w:rsid w:val="00B75EDA"/>
    <w:rsid w:val="00B91827"/>
    <w:rsid w:val="00B9360D"/>
    <w:rsid w:val="00B97BF4"/>
    <w:rsid w:val="00BB1607"/>
    <w:rsid w:val="00BB3C82"/>
    <w:rsid w:val="00BC3DCC"/>
    <w:rsid w:val="00BC6406"/>
    <w:rsid w:val="00BD4BB6"/>
    <w:rsid w:val="00BE737E"/>
    <w:rsid w:val="00BF5092"/>
    <w:rsid w:val="00BF569A"/>
    <w:rsid w:val="00C0795F"/>
    <w:rsid w:val="00C07AA8"/>
    <w:rsid w:val="00C16071"/>
    <w:rsid w:val="00C178AE"/>
    <w:rsid w:val="00C22E61"/>
    <w:rsid w:val="00C25286"/>
    <w:rsid w:val="00C25ACF"/>
    <w:rsid w:val="00C41392"/>
    <w:rsid w:val="00C4522B"/>
    <w:rsid w:val="00C47441"/>
    <w:rsid w:val="00C52823"/>
    <w:rsid w:val="00C57218"/>
    <w:rsid w:val="00C63C94"/>
    <w:rsid w:val="00C70CCA"/>
    <w:rsid w:val="00C7701E"/>
    <w:rsid w:val="00C8343F"/>
    <w:rsid w:val="00C85236"/>
    <w:rsid w:val="00C9346F"/>
    <w:rsid w:val="00C93AF1"/>
    <w:rsid w:val="00C952B1"/>
    <w:rsid w:val="00CB08CE"/>
    <w:rsid w:val="00CB0A2F"/>
    <w:rsid w:val="00CB2482"/>
    <w:rsid w:val="00CB3C42"/>
    <w:rsid w:val="00CC0971"/>
    <w:rsid w:val="00CD6B5F"/>
    <w:rsid w:val="00CD7175"/>
    <w:rsid w:val="00CD7E1A"/>
    <w:rsid w:val="00CF0E3D"/>
    <w:rsid w:val="00CF18EA"/>
    <w:rsid w:val="00CF3B96"/>
    <w:rsid w:val="00D025CD"/>
    <w:rsid w:val="00D1749C"/>
    <w:rsid w:val="00D17E0C"/>
    <w:rsid w:val="00D22A0E"/>
    <w:rsid w:val="00D24E1A"/>
    <w:rsid w:val="00D314F4"/>
    <w:rsid w:val="00D3210E"/>
    <w:rsid w:val="00D37149"/>
    <w:rsid w:val="00D64CBA"/>
    <w:rsid w:val="00D80901"/>
    <w:rsid w:val="00D8278E"/>
    <w:rsid w:val="00D8400B"/>
    <w:rsid w:val="00D86226"/>
    <w:rsid w:val="00D86C09"/>
    <w:rsid w:val="00D86E24"/>
    <w:rsid w:val="00D8772B"/>
    <w:rsid w:val="00D90A87"/>
    <w:rsid w:val="00D95C17"/>
    <w:rsid w:val="00D963E2"/>
    <w:rsid w:val="00DA0049"/>
    <w:rsid w:val="00DA29D9"/>
    <w:rsid w:val="00DA6E9A"/>
    <w:rsid w:val="00DB09E8"/>
    <w:rsid w:val="00DB58F4"/>
    <w:rsid w:val="00DC13D8"/>
    <w:rsid w:val="00DC23B7"/>
    <w:rsid w:val="00DD68FA"/>
    <w:rsid w:val="00DE66CD"/>
    <w:rsid w:val="00E02E4D"/>
    <w:rsid w:val="00E11E56"/>
    <w:rsid w:val="00E1397C"/>
    <w:rsid w:val="00E15252"/>
    <w:rsid w:val="00E24E5E"/>
    <w:rsid w:val="00E2522D"/>
    <w:rsid w:val="00E27C95"/>
    <w:rsid w:val="00E31608"/>
    <w:rsid w:val="00E32E0B"/>
    <w:rsid w:val="00E3401D"/>
    <w:rsid w:val="00E353B9"/>
    <w:rsid w:val="00E35DDA"/>
    <w:rsid w:val="00E54F64"/>
    <w:rsid w:val="00E575CC"/>
    <w:rsid w:val="00E604C7"/>
    <w:rsid w:val="00E60868"/>
    <w:rsid w:val="00E62BF5"/>
    <w:rsid w:val="00E62DB7"/>
    <w:rsid w:val="00E6327C"/>
    <w:rsid w:val="00E64975"/>
    <w:rsid w:val="00E663DF"/>
    <w:rsid w:val="00E67795"/>
    <w:rsid w:val="00E712C7"/>
    <w:rsid w:val="00E77029"/>
    <w:rsid w:val="00E92942"/>
    <w:rsid w:val="00E93420"/>
    <w:rsid w:val="00E97A29"/>
    <w:rsid w:val="00EA2F8C"/>
    <w:rsid w:val="00EA3181"/>
    <w:rsid w:val="00EA3346"/>
    <w:rsid w:val="00EA5C20"/>
    <w:rsid w:val="00EB3DBF"/>
    <w:rsid w:val="00EC0876"/>
    <w:rsid w:val="00ED6455"/>
    <w:rsid w:val="00EE7513"/>
    <w:rsid w:val="00EF71FA"/>
    <w:rsid w:val="00F10836"/>
    <w:rsid w:val="00F14750"/>
    <w:rsid w:val="00F32A75"/>
    <w:rsid w:val="00F32C26"/>
    <w:rsid w:val="00F363EB"/>
    <w:rsid w:val="00F377E7"/>
    <w:rsid w:val="00F4461D"/>
    <w:rsid w:val="00F46826"/>
    <w:rsid w:val="00F50392"/>
    <w:rsid w:val="00F51323"/>
    <w:rsid w:val="00F52383"/>
    <w:rsid w:val="00F5247E"/>
    <w:rsid w:val="00F638F3"/>
    <w:rsid w:val="00F65065"/>
    <w:rsid w:val="00F73EE7"/>
    <w:rsid w:val="00F8293A"/>
    <w:rsid w:val="00F938EF"/>
    <w:rsid w:val="00F9676F"/>
    <w:rsid w:val="00F96BB8"/>
    <w:rsid w:val="00F97C6A"/>
    <w:rsid w:val="00FB0339"/>
    <w:rsid w:val="00FB64C7"/>
    <w:rsid w:val="00FB663B"/>
    <w:rsid w:val="00FC528C"/>
    <w:rsid w:val="00FD2DC6"/>
    <w:rsid w:val="00FD5000"/>
    <w:rsid w:val="00FE36D4"/>
    <w:rsid w:val="00FE3CDB"/>
    <w:rsid w:val="00FE4409"/>
    <w:rsid w:val="00FF1DC5"/>
    <w:rsid w:val="00FF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AD08CC"/>
  <w15:docId w15:val="{10D9A318-5B5D-41A6-83F2-090F72AD7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914"/>
    <w:rPr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BF56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51914"/>
    <w:pPr>
      <w:widowControl w:val="0"/>
      <w:autoSpaceDE w:val="0"/>
      <w:autoSpaceDN w:val="0"/>
      <w:adjustRightInd w:val="0"/>
    </w:pPr>
    <w:rPr>
      <w:rFonts w:ascii="T_Times NR" w:hAnsi="T_Times NR"/>
      <w:b/>
      <w:bCs/>
      <w:sz w:val="20"/>
      <w:szCs w:val="20"/>
      <w:lang w:val="be-BY"/>
    </w:rPr>
  </w:style>
  <w:style w:type="character" w:styleId="a5">
    <w:name w:val="Hyperlink"/>
    <w:rsid w:val="00051914"/>
    <w:rPr>
      <w:color w:val="0000FF"/>
      <w:u w:val="single"/>
    </w:rPr>
  </w:style>
  <w:style w:type="paragraph" w:styleId="a6">
    <w:name w:val="Balloon Text"/>
    <w:basedOn w:val="a"/>
    <w:semiHidden/>
    <w:rsid w:val="0026628B"/>
    <w:rPr>
      <w:rFonts w:ascii="Tahoma" w:hAnsi="Tahoma" w:cs="Tahoma"/>
      <w:sz w:val="16"/>
      <w:szCs w:val="16"/>
    </w:rPr>
  </w:style>
  <w:style w:type="paragraph" w:customStyle="1" w:styleId="1">
    <w:name w:val="Знак Знак Знак Знак Знак Знак Знак Знак Знак Знак1 Знак Знак Знак Знак Знак Знак"/>
    <w:basedOn w:val="a"/>
    <w:rsid w:val="00FB66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7">
    <w:name w:val="Table Grid"/>
    <w:basedOn w:val="a1"/>
    <w:rsid w:val="00893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8831E6"/>
    <w:rPr>
      <w:rFonts w:ascii="T_Times NR" w:hAnsi="T_Times NR"/>
      <w:b/>
      <w:bCs/>
      <w:lang w:val="be-BY"/>
    </w:rPr>
  </w:style>
  <w:style w:type="paragraph" w:customStyle="1" w:styleId="ConsPlusCell">
    <w:name w:val="ConsPlusCell"/>
    <w:rsid w:val="002B0FCC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List Paragraph"/>
    <w:basedOn w:val="a"/>
    <w:uiPriority w:val="34"/>
    <w:qFormat/>
    <w:rsid w:val="008867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867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9">
    <w:name w:val="header"/>
    <w:basedOn w:val="a"/>
    <w:rsid w:val="005C3A45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5C3A45"/>
  </w:style>
  <w:style w:type="character" w:styleId="ab">
    <w:name w:val="Strong"/>
    <w:uiPriority w:val="22"/>
    <w:qFormat/>
    <w:rsid w:val="00ED6455"/>
    <w:rPr>
      <w:b/>
      <w:bCs/>
    </w:rPr>
  </w:style>
  <w:style w:type="paragraph" w:styleId="21">
    <w:name w:val="Body Text Indent 2"/>
    <w:basedOn w:val="a"/>
    <w:link w:val="22"/>
    <w:rsid w:val="00A9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A91310"/>
    <w:rPr>
      <w:sz w:val="28"/>
      <w:szCs w:val="28"/>
    </w:rPr>
  </w:style>
  <w:style w:type="paragraph" w:customStyle="1" w:styleId="ConsPlusNormal">
    <w:name w:val="ConsPlusNormal"/>
    <w:link w:val="ConsPlusNormal0"/>
    <w:rsid w:val="00A91310"/>
    <w:pPr>
      <w:widowControl w:val="0"/>
      <w:ind w:firstLine="720"/>
    </w:pPr>
    <w:rPr>
      <w:rFonts w:ascii="Arial" w:hAnsi="Arial"/>
      <w:snapToGrid w:val="0"/>
    </w:rPr>
  </w:style>
  <w:style w:type="character" w:customStyle="1" w:styleId="ConsPlusNormal0">
    <w:name w:val="ConsPlusNormal Знак"/>
    <w:link w:val="ConsPlusNormal"/>
    <w:rsid w:val="00A91310"/>
    <w:rPr>
      <w:rFonts w:ascii="Arial" w:hAnsi="Arial"/>
      <w:snapToGrid w:val="0"/>
      <w:lang w:val="ru-RU" w:eastAsia="ru-RU" w:bidi="ar-SA"/>
    </w:rPr>
  </w:style>
  <w:style w:type="paragraph" w:styleId="ac">
    <w:name w:val="footer"/>
    <w:basedOn w:val="a"/>
    <w:link w:val="ad"/>
    <w:rsid w:val="00567FF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567FFD"/>
    <w:rPr>
      <w:sz w:val="28"/>
      <w:szCs w:val="28"/>
    </w:rPr>
  </w:style>
  <w:style w:type="paragraph" w:customStyle="1" w:styleId="headertext">
    <w:name w:val="header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B6071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rsid w:val="00C16071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rsid w:val="00BF569A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af">
    <w:name w:val="Plain Text"/>
    <w:basedOn w:val="a"/>
    <w:link w:val="af0"/>
    <w:rsid w:val="00BF569A"/>
    <w:pPr>
      <w:spacing w:before="60"/>
      <w:jc w:val="both"/>
    </w:pPr>
    <w:rPr>
      <w:sz w:val="24"/>
      <w:szCs w:val="20"/>
    </w:rPr>
  </w:style>
  <w:style w:type="character" w:customStyle="1" w:styleId="af0">
    <w:name w:val="Текст Знак"/>
    <w:basedOn w:val="a0"/>
    <w:link w:val="af"/>
    <w:rsid w:val="00BF569A"/>
    <w:rPr>
      <w:sz w:val="24"/>
    </w:rPr>
  </w:style>
  <w:style w:type="character" w:customStyle="1" w:styleId="af1">
    <w:name w:val="Добавленный текст"/>
    <w:uiPriority w:val="99"/>
    <w:rsid w:val="00BF569A"/>
    <w:rPr>
      <w:color w:val="000000"/>
    </w:rPr>
  </w:style>
  <w:style w:type="character" w:customStyle="1" w:styleId="af2">
    <w:name w:val="Гипертекстовая ссылка"/>
    <w:uiPriority w:val="99"/>
    <w:rsid w:val="00BF569A"/>
    <w:rPr>
      <w:color w:val="008000"/>
      <w:u w:val="single"/>
    </w:rPr>
  </w:style>
  <w:style w:type="character" w:customStyle="1" w:styleId="FontStyle48">
    <w:name w:val="Font Style48"/>
    <w:basedOn w:val="a0"/>
    <w:uiPriority w:val="99"/>
    <w:rsid w:val="00BF569A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elenodol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DD3EE-7105-42ED-82FA-D90A8A60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4624</Words>
  <Characters>26360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Grizli777</Company>
  <LinksUpToDate>false</LinksUpToDate>
  <CharactersWithSpaces>30923</CharactersWithSpaces>
  <SharedDoc>false</SharedDoc>
  <HLinks>
    <vt:vector size="126" baseType="variant">
      <vt:variant>
        <vt:i4>327709</vt:i4>
      </vt:variant>
      <vt:variant>
        <vt:i4>60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3342435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consultantplus://offline/ref=0FADE79ACB7A68F7C4DC4F08CD6828E1C5C1E8087CF55570BD3E2A68F89E4AA4AA5CA7327CF5F39E9836E703C10D4C86FDD99AEE94AEB31Ap5fCM</vt:lpwstr>
      </vt:variant>
      <vt:variant>
        <vt:lpwstr/>
      </vt:variant>
      <vt:variant>
        <vt:i4>5898251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4849746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2621490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2621490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consultantplus://offline/ref=F3A80A561228AF4DB880CDE19CBA5EE70C41195CAC71D87255984ACF04B5FD9DBA5629DB74242312F6CD928EA9A5844A04E7EC87EC67E3D01F6FN</vt:lpwstr>
      </vt:variant>
      <vt:variant>
        <vt:lpwstr/>
      </vt:variant>
      <vt:variant>
        <vt:i4>5898251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consultantplus://offline/ref=3ACEDDB140C62BECB017ACD9873C6202CB6DAFF118648AEF4B791C9ABF2B822DDD3CDBCEDE29C650846535B078k6w4N</vt:lpwstr>
      </vt:variant>
      <vt:variant>
        <vt:lpwstr/>
      </vt:variant>
      <vt:variant>
        <vt:i4>5898323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consultantplus://offline/ref=3ACEDDB140C62BECB017ACD9873C6202CA65A1F21B608AEF4B791C9ABF2B822DDD3CDBCEDE29C650846535B078k6w4N</vt:lpwstr>
      </vt:variant>
      <vt:variant>
        <vt:lpwstr/>
      </vt:variant>
      <vt:variant>
        <vt:i4>5898249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consultantplus://offline/ref=3ACEDDB140C62BECB017ACD9873C6202CB6DAFF118668AEF4B791C9ABF2B822DDD3CDBCEDE29C650846535B078k6w4N</vt:lpwstr>
      </vt:variant>
      <vt:variant>
        <vt:lpwstr/>
      </vt:variant>
      <vt:variant>
        <vt:i4>5701634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consultantplus://offline/ref=3ACEDDB140C62BECB017ACD9873C6202CB6FA8F518608AEF4B791C9ABF2B822DCF3C83C4DF2BD305D43F62BD7B68433FA3359F6AD9k0w2N</vt:lpwstr>
      </vt:variant>
      <vt:variant>
        <vt:lpwstr/>
      </vt:variant>
      <vt:variant>
        <vt:i4>4849746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consultantplus://offline/ref=02D9AD90E87C5793CD6F81735B88003C82F276E80424C1C435FA97A02BE306AB7ECF0470801C004D884C7F087BpBqBN</vt:lpwstr>
      </vt:variant>
      <vt:variant>
        <vt:lpwstr/>
      </vt:variant>
      <vt:variant>
        <vt:i4>4849747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consultantplus://offline/ref=02D9AD90E87C5793CD6F81735B88003C83FA78EB0720C1C435FA97A02BE306AB7ECF0470801C004D884C7F087BpBqBN</vt:lpwstr>
      </vt:variant>
      <vt:variant>
        <vt:lpwstr/>
      </vt:variant>
      <vt:variant>
        <vt:i4>4849744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4849744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consultantplus://offline/ref=02D9AD90E87C5793CD6F81735B88003C82F276E80426C1C435FA97A02BE306AB7ECF0470801C004D884C7F087BpBqBN</vt:lpwstr>
      </vt:variant>
      <vt:variant>
        <vt:lpwstr/>
      </vt:variant>
      <vt:variant>
        <vt:i4>327709</vt:i4>
      </vt:variant>
      <vt:variant>
        <vt:i4>3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  <vt:variant>
        <vt:i4>327709</vt:i4>
      </vt:variant>
      <vt:variant>
        <vt:i4>0</vt:i4>
      </vt:variant>
      <vt:variant>
        <vt:i4>0</vt:i4>
      </vt:variant>
      <vt:variant>
        <vt:i4>5</vt:i4>
      </vt:variant>
      <vt:variant>
        <vt:lpwstr>http://zelenodolsk.tatarstan.ru/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PMA</dc:creator>
  <cp:lastModifiedBy>0</cp:lastModifiedBy>
  <cp:revision>4</cp:revision>
  <cp:lastPrinted>2021-05-17T13:59:00Z</cp:lastPrinted>
  <dcterms:created xsi:type="dcterms:W3CDTF">2021-05-31T11:01:00Z</dcterms:created>
  <dcterms:modified xsi:type="dcterms:W3CDTF">2021-05-31T12:42:00Z</dcterms:modified>
</cp:coreProperties>
</file>